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755" w:rsidRPr="00F0798E" w:rsidRDefault="002243D1" w:rsidP="00F0798E">
      <w:pPr>
        <w:jc w:val="center"/>
        <w:rPr>
          <w:b/>
          <w:sz w:val="32"/>
        </w:rPr>
      </w:pPr>
      <w:r>
        <w:rPr>
          <w:b/>
          <w:sz w:val="32"/>
        </w:rPr>
        <w:t>Appel à Manifestation d’Intérêt pour l’</w:t>
      </w:r>
      <w:r w:rsidR="00DE0D95">
        <w:rPr>
          <w:b/>
          <w:sz w:val="32"/>
        </w:rPr>
        <w:t>exploitation de parcelles de vigne au</w:t>
      </w:r>
      <w:r w:rsidR="00F0798E" w:rsidRPr="00F0798E">
        <w:rPr>
          <w:b/>
          <w:sz w:val="32"/>
        </w:rPr>
        <w:t xml:space="preserve"> Pôle archéologique départemental-MuséAl</w:t>
      </w:r>
      <w:r w:rsidR="00DE0D95">
        <w:rPr>
          <w:b/>
          <w:sz w:val="32"/>
        </w:rPr>
        <w:t xml:space="preserve"> d’Alba-la-</w:t>
      </w:r>
      <w:r>
        <w:rPr>
          <w:b/>
          <w:sz w:val="32"/>
        </w:rPr>
        <w:t>Romaine</w:t>
      </w:r>
    </w:p>
    <w:p w:rsidR="00F0798E" w:rsidRPr="00B50387" w:rsidRDefault="00B50387">
      <w:pPr>
        <w:rPr>
          <w:b/>
        </w:rPr>
      </w:pPr>
      <w:r w:rsidRPr="00B50387">
        <w:rPr>
          <w:b/>
        </w:rPr>
        <w:t xml:space="preserve">Contexte </w:t>
      </w:r>
    </w:p>
    <w:p w:rsidR="00FB3749" w:rsidRDefault="00F0798E" w:rsidP="00DE0D95">
      <w:pPr>
        <w:jc w:val="both"/>
      </w:pPr>
      <w:r>
        <w:t xml:space="preserve">Le Pôle archéologique départemental-MuséAl est un service de la direction de la culture du Département de l’Ardèche. En plus d’être un service de référence et d’expertise en archéologie, il valorise le patrimoine archéologique de l’antique </w:t>
      </w:r>
      <w:r w:rsidRPr="00F0798E">
        <w:rPr>
          <w:i/>
        </w:rPr>
        <w:t>Alba Helviorum</w:t>
      </w:r>
      <w:r>
        <w:t>, capitale du peuple gallo-romain des Helviens, à travers un site archéologique et un musée.</w:t>
      </w:r>
      <w:r w:rsidR="003D646E">
        <w:t xml:space="preserve"> Les parcelles du site archéologique sont toutes classées depuis 2006 au titre des Monuments historiques. </w:t>
      </w:r>
    </w:p>
    <w:p w:rsidR="00674034" w:rsidRDefault="00674034" w:rsidP="00674034">
      <w:pPr>
        <w:jc w:val="both"/>
      </w:pPr>
      <w:r>
        <w:t xml:space="preserve">Les recherches menées sur des parcelles OA n°1150 et n°1159 en nature de vigne entre 1986 et 1988 (prospections, sondages, relevés </w:t>
      </w:r>
      <w:proofErr w:type="spellStart"/>
      <w:r>
        <w:t>microtopographiques</w:t>
      </w:r>
      <w:proofErr w:type="spellEnd"/>
      <w:r>
        <w:t xml:space="preserve">) ont révélé la présence d’un espace carré de 60 m de côté, clôt par un mur de construction soignée. Il est bordé par deux axes de voirie d’axe nord-sud, l’un à l’est de cet espace et l’autre à l’ouest. </w:t>
      </w:r>
      <w:r>
        <w:rPr>
          <w:rFonts w:cstheme="minorHAnsi"/>
        </w:rPr>
        <w:t>À</w:t>
      </w:r>
      <w:r>
        <w:t xml:space="preserve"> l’aune de ces éléments, cet espace est identifié comme le forum qui constituait pendant l’Antiquité une grande place publique. L’existence de cet ouvrage architectural s’observe aisément entre les rangs de vignes. De nombreux fragments de tuiles romaines et de blocs calcaires équarris affleurent. Les sondages réalisés à la fin des années 1980 ont situé l’apparition des vestiges archéologiques à une faible profondeur : 12 à 15 cm sous la surface actuelle.</w:t>
      </w:r>
    </w:p>
    <w:p w:rsidR="0084391E" w:rsidRDefault="00981598" w:rsidP="00DE0D95">
      <w:pPr>
        <w:jc w:val="both"/>
      </w:pPr>
      <w:r>
        <w:t xml:space="preserve">Parallèlement, les parcelles </w:t>
      </w:r>
      <w:r w:rsidR="00695664">
        <w:t xml:space="preserve">en nature de </w:t>
      </w:r>
      <w:r w:rsidR="003D646E">
        <w:t>vignes</w:t>
      </w:r>
      <w:r w:rsidR="00695664">
        <w:t>,</w:t>
      </w:r>
      <w:r w:rsidR="0084391E">
        <w:t xml:space="preserve"> ont vocation à être exploitées conformément à la règlementation</w:t>
      </w:r>
      <w:r w:rsidR="00695664">
        <w:t>,</w:t>
      </w:r>
      <w:r w:rsidR="0084391E">
        <w:t xml:space="preserve"> qui prévoit depuis le 1</w:t>
      </w:r>
      <w:r w:rsidR="0084391E" w:rsidRPr="003D646E">
        <w:rPr>
          <w:vertAlign w:val="superscript"/>
        </w:rPr>
        <w:t>er</w:t>
      </w:r>
      <w:r w:rsidR="0084391E">
        <w:t xml:space="preserve"> janvier 2018 l’interdiction d’utilisation des produits phytosanitaires sur le domaine public.</w:t>
      </w:r>
    </w:p>
    <w:p w:rsidR="003D646E" w:rsidRDefault="00981598" w:rsidP="00DE0D95">
      <w:pPr>
        <w:jc w:val="both"/>
      </w:pPr>
      <w:r>
        <w:t>L</w:t>
      </w:r>
      <w:r w:rsidR="0084391E">
        <w:t xml:space="preserve">e Département souhaite </w:t>
      </w:r>
      <w:r w:rsidR="00226CD9">
        <w:t xml:space="preserve">accompagner une gestion de la biodiversité </w:t>
      </w:r>
      <w:r w:rsidR="003F44F5">
        <w:t xml:space="preserve">plus respectueuse </w:t>
      </w:r>
      <w:r w:rsidR="00226CD9">
        <w:t xml:space="preserve">sur le site antique; </w:t>
      </w:r>
      <w:r w:rsidR="00695664">
        <w:t xml:space="preserve">et </w:t>
      </w:r>
      <w:r w:rsidR="00226CD9">
        <w:t xml:space="preserve">dans ce cadre, depuis 2009, de l’éco pâturage a été mis en place et un inventaire de la biodiversité a été lancé en 2021. </w:t>
      </w:r>
    </w:p>
    <w:p w:rsidR="00981598" w:rsidRDefault="00981598" w:rsidP="00DE0D95">
      <w:pPr>
        <w:jc w:val="both"/>
      </w:pPr>
      <w:r>
        <w:t>Par conséquent, l’exploitation des vignes devra répondre à certaines exigences</w:t>
      </w:r>
      <w:r w:rsidR="00A43EB4">
        <w:t>.</w:t>
      </w:r>
    </w:p>
    <w:p w:rsidR="00B50387" w:rsidRDefault="003F44F5" w:rsidP="00F0798E">
      <w:pPr>
        <w:jc w:val="both"/>
        <w:rPr>
          <w:b/>
        </w:rPr>
      </w:pPr>
      <w:r>
        <w:rPr>
          <w:b/>
        </w:rPr>
        <w:t xml:space="preserve">Objet de l’appel à manifestation d’intérêt : </w:t>
      </w:r>
    </w:p>
    <w:p w:rsidR="004D47A1" w:rsidRDefault="004D47A1" w:rsidP="004D47A1">
      <w:pPr>
        <w:pStyle w:val="Paragraphedeliste"/>
        <w:numPr>
          <w:ilvl w:val="0"/>
          <w:numId w:val="4"/>
        </w:numPr>
        <w:jc w:val="both"/>
      </w:pPr>
      <w:r w:rsidRPr="004D47A1">
        <w:t xml:space="preserve">Exploitation de vignes </w:t>
      </w:r>
      <w:r w:rsidR="00981598">
        <w:t xml:space="preserve">qui prendra en compte le contexte archéologique spécifique et </w:t>
      </w:r>
      <w:r>
        <w:t>selon des clauses environnementales, notamment :</w:t>
      </w:r>
    </w:p>
    <w:p w:rsidR="00226CD9" w:rsidRDefault="00226CD9" w:rsidP="004D47A1">
      <w:pPr>
        <w:pStyle w:val="Paragraphedeliste"/>
        <w:numPr>
          <w:ilvl w:val="0"/>
          <w:numId w:val="5"/>
        </w:numPr>
        <w:jc w:val="both"/>
      </w:pPr>
      <w:r>
        <w:t>P</w:t>
      </w:r>
      <w:r w:rsidR="0020772B">
        <w:t>articiper à la préservation de</w:t>
      </w:r>
      <w:r>
        <w:t xml:space="preserve"> la biodiversité sur le site antique,</w:t>
      </w:r>
    </w:p>
    <w:p w:rsidR="004A08CE" w:rsidRDefault="004A08CE" w:rsidP="004D47A1">
      <w:pPr>
        <w:pStyle w:val="Paragraphedeliste"/>
        <w:numPr>
          <w:ilvl w:val="0"/>
          <w:numId w:val="5"/>
        </w:numPr>
        <w:jc w:val="both"/>
      </w:pPr>
      <w:r>
        <w:t>Participer à l’harmonie paysagère du site antique,</w:t>
      </w:r>
    </w:p>
    <w:p w:rsidR="00695664" w:rsidRDefault="00695664" w:rsidP="004D47A1">
      <w:pPr>
        <w:pStyle w:val="Paragraphedeliste"/>
        <w:numPr>
          <w:ilvl w:val="0"/>
          <w:numId w:val="5"/>
        </w:numPr>
        <w:jc w:val="both"/>
      </w:pPr>
      <w:r>
        <w:t>Interdiction d’utilisation de produits phytosanitaires.</w:t>
      </w:r>
    </w:p>
    <w:p w:rsidR="00B50387" w:rsidRDefault="00104D19" w:rsidP="00F0798E">
      <w:pPr>
        <w:jc w:val="both"/>
        <w:rPr>
          <w:b/>
        </w:rPr>
      </w:pPr>
      <w:r>
        <w:rPr>
          <w:b/>
        </w:rPr>
        <w:t>Description de l’activité</w:t>
      </w:r>
      <w:r w:rsidR="00842703">
        <w:rPr>
          <w:b/>
        </w:rPr>
        <w:t xml:space="preserve"> </w:t>
      </w:r>
    </w:p>
    <w:p w:rsidR="003F44F5" w:rsidRDefault="003F44F5" w:rsidP="00695664">
      <w:pPr>
        <w:jc w:val="both"/>
      </w:pPr>
      <w:r>
        <w:t>Exploitation de vigne</w:t>
      </w:r>
      <w:r w:rsidR="00983485">
        <w:t>s</w:t>
      </w:r>
      <w:r w:rsidR="00842703">
        <w:t xml:space="preserve"> conformément </w:t>
      </w:r>
      <w:r w:rsidR="0020772B">
        <w:t xml:space="preserve">sur </w:t>
      </w:r>
      <w:r>
        <w:t>les</w:t>
      </w:r>
      <w:r w:rsidR="004A08CE">
        <w:t xml:space="preserve"> parcelles</w:t>
      </w:r>
      <w:r w:rsidR="00695664">
        <w:t xml:space="preserve"> situées à Alba La Romaine et cadastrées comme suit :</w:t>
      </w:r>
    </w:p>
    <w:p w:rsidR="00695664" w:rsidRDefault="00695664" w:rsidP="00695664">
      <w:pPr>
        <w:jc w:val="both"/>
      </w:pPr>
      <w:r>
        <w:t xml:space="preserve">Section </w:t>
      </w:r>
      <w:r w:rsidR="009273DF">
        <w:t>0A n°1159 et n°1150 d’une surface respective de 438 m² et 4916m².</w:t>
      </w:r>
    </w:p>
    <w:p w:rsidR="00674034" w:rsidRDefault="00674034" w:rsidP="00674034">
      <w:pPr>
        <w:jc w:val="both"/>
      </w:pPr>
      <w:r>
        <w:t xml:space="preserve">Contexte d’exploitation : Les vignes sont situées en plein cœur du site archéologique antique </w:t>
      </w:r>
      <w:r w:rsidRPr="000452A7">
        <w:rPr>
          <w:i/>
        </w:rPr>
        <w:t xml:space="preserve">Alba </w:t>
      </w:r>
      <w:proofErr w:type="spellStart"/>
      <w:r w:rsidRPr="000452A7">
        <w:rPr>
          <w:i/>
        </w:rPr>
        <w:t>Helviorum</w:t>
      </w:r>
      <w:proofErr w:type="spellEnd"/>
      <w:r>
        <w:t>. Cette parcelle constitue la continuité méridionale du centre monumental et de l’aire sacrée (</w:t>
      </w:r>
      <w:r w:rsidRPr="002041F3">
        <w:rPr>
          <w:i/>
        </w:rPr>
        <w:t>a</w:t>
      </w:r>
      <w:r>
        <w:rPr>
          <w:i/>
        </w:rPr>
        <w:t>rea</w:t>
      </w:r>
      <w:r w:rsidRPr="002041F3">
        <w:rPr>
          <w:i/>
        </w:rPr>
        <w:t xml:space="preserve"> sacra</w:t>
      </w:r>
      <w:r>
        <w:t xml:space="preserve">), un important complexe de bâtiments publics, politiques et religieux. Elle est bordée à l’ouest par l’axe de circulation principal de la ville antique, le </w:t>
      </w:r>
      <w:proofErr w:type="spellStart"/>
      <w:r w:rsidRPr="002C6DBE">
        <w:rPr>
          <w:i/>
        </w:rPr>
        <w:t>Cardo</w:t>
      </w:r>
      <w:proofErr w:type="spellEnd"/>
      <w:r w:rsidRPr="002C6DBE">
        <w:rPr>
          <w:i/>
        </w:rPr>
        <w:t xml:space="preserve"> </w:t>
      </w:r>
      <w:proofErr w:type="spellStart"/>
      <w:r w:rsidRPr="002C6DBE">
        <w:rPr>
          <w:i/>
        </w:rPr>
        <w:t>Maximus</w:t>
      </w:r>
      <w:proofErr w:type="spellEnd"/>
      <w:r>
        <w:t xml:space="preserve">. Elle se trouve par ailleurs </w:t>
      </w:r>
      <w:r>
        <w:lastRenderedPageBreak/>
        <w:t xml:space="preserve">à proximité du théâtre, à l’est, et de la </w:t>
      </w:r>
      <w:proofErr w:type="spellStart"/>
      <w:r>
        <w:t>domus</w:t>
      </w:r>
      <w:proofErr w:type="spellEnd"/>
      <w:r>
        <w:t xml:space="preserve"> du Pinard, au sud, une vaste et luxueuse maison urbaine. Le caractère archéologique de cette parcelle est donc totalement avéré.</w:t>
      </w:r>
    </w:p>
    <w:p w:rsidR="00674034" w:rsidRPr="00C539A3" w:rsidRDefault="00674034" w:rsidP="00674034">
      <w:pPr>
        <w:jc w:val="both"/>
        <w:rPr>
          <w:b/>
        </w:rPr>
      </w:pPr>
      <w:r w:rsidRPr="00C539A3">
        <w:rPr>
          <w:b/>
        </w:rPr>
        <w:t>Conséquences sur l’entretien des vignes</w:t>
      </w:r>
    </w:p>
    <w:p w:rsidR="00674034" w:rsidRPr="00C539A3" w:rsidRDefault="00674034" w:rsidP="00674034">
      <w:pPr>
        <w:jc w:val="both"/>
        <w:rPr>
          <w:i/>
        </w:rPr>
      </w:pPr>
      <w:r w:rsidRPr="00C539A3">
        <w:rPr>
          <w:i/>
        </w:rPr>
        <w:t>Déplacements, restriction des actions</w:t>
      </w:r>
      <w:r w:rsidR="00A43EB4">
        <w:rPr>
          <w:i/>
        </w:rPr>
        <w:t xml:space="preserve"> conformément au plan en annexe 1</w:t>
      </w:r>
    </w:p>
    <w:p w:rsidR="00674034" w:rsidRDefault="00674034" w:rsidP="00674034">
      <w:pPr>
        <w:jc w:val="both"/>
      </w:pPr>
      <w:r>
        <w:t xml:space="preserve">L’exploitant devra prendre en compte la cartographie des zones de sensibilité du site antique, réalisée par le Service archéologique départemental – </w:t>
      </w:r>
      <w:proofErr w:type="spellStart"/>
      <w:r>
        <w:t>MuséAl</w:t>
      </w:r>
      <w:proofErr w:type="spellEnd"/>
      <w:r>
        <w:t>, qui précise les modes de déplacement et les actions possibles sur l’emprise du site archéologique.</w:t>
      </w:r>
    </w:p>
    <w:p w:rsidR="00674034" w:rsidRPr="00C539A3" w:rsidRDefault="00674034" w:rsidP="00674034">
      <w:pPr>
        <w:jc w:val="both"/>
        <w:rPr>
          <w:i/>
        </w:rPr>
      </w:pPr>
      <w:r w:rsidRPr="00C539A3">
        <w:rPr>
          <w:i/>
        </w:rPr>
        <w:t>Labourage et désherbage</w:t>
      </w:r>
    </w:p>
    <w:p w:rsidR="00674034" w:rsidRDefault="00674034" w:rsidP="00674034">
      <w:pPr>
        <w:jc w:val="both"/>
      </w:pPr>
      <w:r>
        <w:t>Les pratiques agricoles sur cette parcelle doivent être adaptées en cohérence avec la conservation de cette partie importante du centre monumental du site antique, peu étudiée jusqu’à aujourd’hui. Il sera donc interdit de labourer ou de désherber de manière mécanique invasive (</w:t>
      </w:r>
      <w:r>
        <w:rPr>
          <w:rFonts w:cstheme="minorHAnsi"/>
        </w:rPr>
        <w:t>≥</w:t>
      </w:r>
      <w:r>
        <w:t xml:space="preserve"> à 20 cm de profondeur) entre les rangs de vignes. Les actions du vigneron devront se limiter à un griffage superficiel à l’aide de moyens mécaniques légers (&lt; 3,5 t).</w:t>
      </w:r>
    </w:p>
    <w:p w:rsidR="00674034" w:rsidRPr="00C539A3" w:rsidRDefault="00674034" w:rsidP="00674034">
      <w:pPr>
        <w:jc w:val="both"/>
        <w:rPr>
          <w:i/>
        </w:rPr>
      </w:pPr>
      <w:r w:rsidRPr="00C539A3">
        <w:rPr>
          <w:i/>
        </w:rPr>
        <w:t xml:space="preserve">Arrachage </w:t>
      </w:r>
    </w:p>
    <w:p w:rsidR="00674034" w:rsidRDefault="00674034" w:rsidP="00674034">
      <w:pPr>
        <w:jc w:val="both"/>
      </w:pPr>
      <w:r>
        <w:t xml:space="preserve">Aucun arrachage de cep ne sera permis. Si la pérennité de l’exploitation nécessitait des arrachages, la demande devra être effectuée auprès du Service archéologique départemental – </w:t>
      </w:r>
      <w:proofErr w:type="spellStart"/>
      <w:r>
        <w:t>MuséAl</w:t>
      </w:r>
      <w:proofErr w:type="spellEnd"/>
      <w:r>
        <w:t>, qui le portera à la connaissance des services compétents de l’</w:t>
      </w:r>
      <w:r>
        <w:rPr>
          <w:rFonts w:cstheme="minorHAnsi"/>
        </w:rPr>
        <w:t>É</w:t>
      </w:r>
      <w:r>
        <w:t>tat (DRAC – SRA) en vue d’assurer un suivi archéologique. Cette demande doit être anticipée, elle ne peut être effectuée rapidement en raison des délais administratifs.</w:t>
      </w:r>
    </w:p>
    <w:p w:rsidR="00674034" w:rsidRPr="00C539A3" w:rsidRDefault="00674034" w:rsidP="00674034">
      <w:pPr>
        <w:jc w:val="both"/>
        <w:rPr>
          <w:i/>
        </w:rPr>
      </w:pPr>
      <w:r w:rsidRPr="00C539A3">
        <w:rPr>
          <w:i/>
        </w:rPr>
        <w:t>Déclaration des découvertes fortuites</w:t>
      </w:r>
    </w:p>
    <w:p w:rsidR="00674034" w:rsidRDefault="00674034" w:rsidP="00674034">
      <w:pPr>
        <w:jc w:val="both"/>
      </w:pPr>
      <w:r>
        <w:t>L’exploitant s’engage</w:t>
      </w:r>
      <w:r w:rsidR="00981598">
        <w:t>ra</w:t>
      </w:r>
      <w:r>
        <w:t xml:space="preserve"> à déclarer sans délai toute découverte archéologique fortuite (vestiges mobiliers et immobiliers) auprès du Service archéologique départemental – </w:t>
      </w:r>
      <w:proofErr w:type="spellStart"/>
      <w:r>
        <w:t>MuséAl</w:t>
      </w:r>
      <w:proofErr w:type="spellEnd"/>
      <w:r>
        <w:t>, afin que celle-ci puisse faire l’objet d’un enregistrement (topographique, photographique), d’une étude et d’une déclaration auprès des services de l’</w:t>
      </w:r>
      <w:r>
        <w:rPr>
          <w:rFonts w:cstheme="minorHAnsi"/>
        </w:rPr>
        <w:t>É</w:t>
      </w:r>
      <w:r>
        <w:t>tat.</w:t>
      </w:r>
    </w:p>
    <w:p w:rsidR="009273DF" w:rsidRPr="00842703" w:rsidRDefault="00842703" w:rsidP="00695664">
      <w:pPr>
        <w:jc w:val="both"/>
        <w:rPr>
          <w:i/>
        </w:rPr>
      </w:pPr>
      <w:r w:rsidRPr="00842703">
        <w:rPr>
          <w:i/>
        </w:rPr>
        <w:t>Activités organisées sur le site</w:t>
      </w:r>
    </w:p>
    <w:p w:rsidR="00DE0D95" w:rsidRDefault="003F44F5" w:rsidP="00F0798E">
      <w:pPr>
        <w:jc w:val="both"/>
      </w:pPr>
      <w:r>
        <w:t xml:space="preserve">L’exploitation devra tenir </w:t>
      </w:r>
      <w:r w:rsidR="00226CD9">
        <w:t xml:space="preserve">compte des activités qui sont </w:t>
      </w:r>
      <w:r w:rsidR="006753F1">
        <w:t xml:space="preserve">organisées sur le site antique, comme les ateliers pédagogiques, visites et évènements. </w:t>
      </w:r>
      <w:r w:rsidR="004A08CE">
        <w:t xml:space="preserve">Les vignes doivent être entretenues et parcourables par le public, étant situées sur le site antique accessible au public toute l’année. </w:t>
      </w:r>
    </w:p>
    <w:p w:rsidR="004A08CE" w:rsidRDefault="004A08CE" w:rsidP="00F0798E">
      <w:pPr>
        <w:jc w:val="both"/>
      </w:pPr>
      <w:r>
        <w:t xml:space="preserve">Pendant l’été, des visites ont lieu avec le Caveau des Vignerons d’Alba-la-Romaine sur le site et dans les vignes sur le site et aux alentours. </w:t>
      </w:r>
    </w:p>
    <w:p w:rsidR="0015749F" w:rsidRDefault="0015749F" w:rsidP="00F0798E">
      <w:pPr>
        <w:jc w:val="both"/>
      </w:pPr>
      <w:r>
        <w:t>L’exploitation devra se conformer à l’interdiction d’utilisation de produits phytosanitaires.</w:t>
      </w:r>
    </w:p>
    <w:p w:rsidR="00D86A6D" w:rsidRDefault="00D86A6D" w:rsidP="00F0798E">
      <w:pPr>
        <w:jc w:val="both"/>
        <w:rPr>
          <w:b/>
        </w:rPr>
      </w:pPr>
      <w:r w:rsidRPr="00D86A6D">
        <w:rPr>
          <w:b/>
        </w:rPr>
        <w:t>Conditions administratives</w:t>
      </w:r>
      <w:r w:rsidR="00397A83">
        <w:rPr>
          <w:b/>
        </w:rPr>
        <w:t xml:space="preserve"> </w:t>
      </w:r>
      <w:r w:rsidR="00577236" w:rsidRPr="00D86A6D">
        <w:rPr>
          <w:b/>
        </w:rPr>
        <w:t>et</w:t>
      </w:r>
      <w:r w:rsidR="00397A83">
        <w:rPr>
          <w:b/>
        </w:rPr>
        <w:t xml:space="preserve"> </w:t>
      </w:r>
      <w:r w:rsidR="00577236" w:rsidRPr="00D86A6D">
        <w:rPr>
          <w:b/>
        </w:rPr>
        <w:t>financières</w:t>
      </w:r>
      <w:r w:rsidR="006B6A41">
        <w:rPr>
          <w:b/>
        </w:rPr>
        <w:t xml:space="preserve"> de candidature</w:t>
      </w:r>
    </w:p>
    <w:p w:rsidR="006753F1" w:rsidRDefault="004859BF" w:rsidP="006753F1">
      <w:pPr>
        <w:jc w:val="both"/>
      </w:pPr>
      <w:r>
        <w:t>L’autorisation sera formalisée par l’établissement d</w:t>
      </w:r>
      <w:r w:rsidR="000069A0">
        <w:t xml:space="preserve">’un </w:t>
      </w:r>
      <w:r w:rsidR="00F92105">
        <w:t>bail environnemental</w:t>
      </w:r>
      <w:r w:rsidR="003E6319">
        <w:t xml:space="preserve"> pour une durée de </w:t>
      </w:r>
      <w:r w:rsidR="00B83F86">
        <w:t>9</w:t>
      </w:r>
      <w:r w:rsidR="003E6319">
        <w:t xml:space="preserve"> ans, renouvelable. </w:t>
      </w:r>
    </w:p>
    <w:p w:rsidR="00B83F86" w:rsidRDefault="00B83F86" w:rsidP="006753F1">
      <w:pPr>
        <w:jc w:val="both"/>
      </w:pPr>
      <w:r>
        <w:t xml:space="preserve">Le montant de la redevance sera calculée sur la base </w:t>
      </w:r>
      <w:r w:rsidR="00E97EBB">
        <w:t xml:space="preserve">de l’arrêté préfectoral </w:t>
      </w:r>
      <w:r w:rsidR="00AA25EB">
        <w:t>n°</w:t>
      </w:r>
      <w:r w:rsidR="004C0D33">
        <w:t>07-2022-10-10-00008 du 10 octobre</w:t>
      </w:r>
      <w:r w:rsidR="00E07535">
        <w:t xml:space="preserve"> 202</w:t>
      </w:r>
      <w:r w:rsidR="004C0D33">
        <w:t>2</w:t>
      </w:r>
      <w:r w:rsidR="00AA25EB">
        <w:t>.</w:t>
      </w:r>
    </w:p>
    <w:p w:rsidR="004859BF" w:rsidRDefault="004859BF" w:rsidP="00397A83">
      <w:pPr>
        <w:jc w:val="both"/>
        <w:rPr>
          <w:b/>
        </w:rPr>
      </w:pPr>
    </w:p>
    <w:p w:rsidR="004859BF" w:rsidRDefault="004859BF" w:rsidP="00397A83">
      <w:pPr>
        <w:jc w:val="both"/>
        <w:rPr>
          <w:b/>
        </w:rPr>
      </w:pPr>
    </w:p>
    <w:p w:rsidR="004859BF" w:rsidRDefault="004859BF" w:rsidP="00397A83">
      <w:pPr>
        <w:jc w:val="both"/>
        <w:rPr>
          <w:b/>
        </w:rPr>
      </w:pPr>
    </w:p>
    <w:p w:rsidR="00990C8D" w:rsidRDefault="00990C8D" w:rsidP="00397A83">
      <w:pPr>
        <w:jc w:val="both"/>
        <w:rPr>
          <w:b/>
        </w:rPr>
      </w:pPr>
      <w:r>
        <w:rPr>
          <w:b/>
        </w:rPr>
        <w:t>Modalités de sélection :</w:t>
      </w:r>
    </w:p>
    <w:p w:rsidR="00990C8D" w:rsidRDefault="00990C8D" w:rsidP="00990C8D">
      <w:pPr>
        <w:jc w:val="both"/>
      </w:pPr>
      <w:r>
        <w:t>Les candidatures seront appréciées au regard d’une notation selon la grille et les critères suivant</w:t>
      </w:r>
      <w:r w:rsidR="00790384">
        <w:t>s</w:t>
      </w:r>
      <w:r>
        <w:t> :</w:t>
      </w:r>
    </w:p>
    <w:p w:rsidR="00397A83" w:rsidRPr="00B95471" w:rsidRDefault="00397A83" w:rsidP="00397A83">
      <w:pPr>
        <w:jc w:val="both"/>
        <w:rPr>
          <w:b/>
        </w:rPr>
      </w:pPr>
      <w:r w:rsidRPr="00B95471">
        <w:rPr>
          <w:b/>
        </w:rPr>
        <w:t>Grille de notation</w:t>
      </w:r>
    </w:p>
    <w:tbl>
      <w:tblPr>
        <w:tblStyle w:val="Tableausimple31"/>
        <w:tblW w:w="0" w:type="auto"/>
        <w:tblLook w:val="04A0" w:firstRow="1" w:lastRow="0" w:firstColumn="1" w:lastColumn="0" w:noHBand="0" w:noVBand="1"/>
      </w:tblPr>
      <w:tblGrid>
        <w:gridCol w:w="3037"/>
        <w:gridCol w:w="3004"/>
        <w:gridCol w:w="3031"/>
      </w:tblGrid>
      <w:tr w:rsidR="00397A83" w:rsidTr="009553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37" w:type="dxa"/>
          </w:tcPr>
          <w:p w:rsidR="00397A83" w:rsidRDefault="00397A83" w:rsidP="004059D7">
            <w:pPr>
              <w:jc w:val="both"/>
            </w:pPr>
            <w:r>
              <w:t>Critère</w:t>
            </w:r>
          </w:p>
        </w:tc>
        <w:tc>
          <w:tcPr>
            <w:tcW w:w="3004" w:type="dxa"/>
          </w:tcPr>
          <w:p w:rsidR="00397A83" w:rsidRDefault="00397A83" w:rsidP="004059D7">
            <w:pPr>
              <w:jc w:val="both"/>
              <w:cnfStyle w:val="100000000000" w:firstRow="1" w:lastRow="0" w:firstColumn="0" w:lastColumn="0" w:oddVBand="0" w:evenVBand="0" w:oddHBand="0" w:evenHBand="0" w:firstRowFirstColumn="0" w:firstRowLastColumn="0" w:lastRowFirstColumn="0" w:lastRowLastColumn="0"/>
            </w:pPr>
            <w:r>
              <w:t>Note</w:t>
            </w:r>
          </w:p>
        </w:tc>
        <w:tc>
          <w:tcPr>
            <w:tcW w:w="3031" w:type="dxa"/>
          </w:tcPr>
          <w:p w:rsidR="00397A83" w:rsidRDefault="00397A83" w:rsidP="004059D7">
            <w:pPr>
              <w:jc w:val="both"/>
              <w:cnfStyle w:val="100000000000" w:firstRow="1" w:lastRow="0" w:firstColumn="0" w:lastColumn="0" w:oddVBand="0" w:evenVBand="0" w:oddHBand="0" w:evenHBand="0" w:firstRowFirstColumn="0" w:firstRowLastColumn="0" w:lastRowFirstColumn="0" w:lastRowLastColumn="0"/>
            </w:pPr>
            <w:r>
              <w:t>Observations</w:t>
            </w:r>
          </w:p>
        </w:tc>
      </w:tr>
      <w:tr w:rsidR="00397A83" w:rsidTr="00955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7" w:type="dxa"/>
          </w:tcPr>
          <w:p w:rsidR="00397A83" w:rsidRDefault="0095536B" w:rsidP="004059D7">
            <w:pPr>
              <w:jc w:val="both"/>
            </w:pPr>
            <w:r>
              <w:t>TECHNIQUES UTILISÉES pour remplacer les produits phytosanitaireS</w:t>
            </w:r>
          </w:p>
        </w:tc>
        <w:tc>
          <w:tcPr>
            <w:tcW w:w="3004" w:type="dxa"/>
          </w:tcPr>
          <w:p w:rsidR="00397A83" w:rsidRDefault="00397A83" w:rsidP="009C6E5C">
            <w:pPr>
              <w:jc w:val="both"/>
              <w:cnfStyle w:val="000000100000" w:firstRow="0" w:lastRow="0" w:firstColumn="0" w:lastColumn="0" w:oddVBand="0" w:evenVBand="0" w:oddHBand="1" w:evenHBand="0" w:firstRowFirstColumn="0" w:firstRowLastColumn="0" w:lastRowFirstColumn="0" w:lastRowLastColumn="0"/>
            </w:pPr>
            <w:r>
              <w:t xml:space="preserve">      </w:t>
            </w:r>
            <w:r w:rsidR="0095536B">
              <w:t>/</w:t>
            </w:r>
            <w:r w:rsidR="009C6E5C">
              <w:t>5</w:t>
            </w:r>
          </w:p>
        </w:tc>
        <w:tc>
          <w:tcPr>
            <w:tcW w:w="3031" w:type="dxa"/>
          </w:tcPr>
          <w:p w:rsidR="00397A83" w:rsidRDefault="00397A83" w:rsidP="004059D7">
            <w:pPr>
              <w:jc w:val="both"/>
              <w:cnfStyle w:val="000000100000" w:firstRow="0" w:lastRow="0" w:firstColumn="0" w:lastColumn="0" w:oddVBand="0" w:evenVBand="0" w:oddHBand="1" w:evenHBand="0" w:firstRowFirstColumn="0" w:firstRowLastColumn="0" w:lastRowFirstColumn="0" w:lastRowLastColumn="0"/>
            </w:pPr>
          </w:p>
        </w:tc>
      </w:tr>
      <w:tr w:rsidR="009C6E5C" w:rsidTr="0095536B">
        <w:tc>
          <w:tcPr>
            <w:cnfStyle w:val="001000000000" w:firstRow="0" w:lastRow="0" w:firstColumn="1" w:lastColumn="0" w:oddVBand="0" w:evenVBand="0" w:oddHBand="0" w:evenHBand="0" w:firstRowFirstColumn="0" w:firstRowLastColumn="0" w:lastRowFirstColumn="0" w:lastRowLastColumn="0"/>
            <w:tcW w:w="3037" w:type="dxa"/>
          </w:tcPr>
          <w:p w:rsidR="009C6E5C" w:rsidRDefault="009C6E5C" w:rsidP="004059D7">
            <w:pPr>
              <w:jc w:val="both"/>
            </w:pPr>
            <w:r>
              <w:t>MOYENS MECANIQUES MIS EN œuvre POUR EXPLOITATION DE LA VIGNE</w:t>
            </w:r>
          </w:p>
        </w:tc>
        <w:tc>
          <w:tcPr>
            <w:tcW w:w="3004" w:type="dxa"/>
          </w:tcPr>
          <w:p w:rsidR="009C6E5C" w:rsidRDefault="009C6E5C" w:rsidP="00732BE2">
            <w:pPr>
              <w:jc w:val="both"/>
              <w:cnfStyle w:val="000000000000" w:firstRow="0" w:lastRow="0" w:firstColumn="0" w:lastColumn="0" w:oddVBand="0" w:evenVBand="0" w:oddHBand="0" w:evenHBand="0" w:firstRowFirstColumn="0" w:firstRowLastColumn="0" w:lastRowFirstColumn="0" w:lastRowLastColumn="0"/>
            </w:pPr>
            <w:r>
              <w:t xml:space="preserve">      /</w:t>
            </w:r>
            <w:r w:rsidR="00732BE2">
              <w:t>4</w:t>
            </w:r>
          </w:p>
        </w:tc>
        <w:tc>
          <w:tcPr>
            <w:tcW w:w="3031" w:type="dxa"/>
          </w:tcPr>
          <w:p w:rsidR="009C6E5C" w:rsidRDefault="009C6E5C" w:rsidP="004059D7">
            <w:pPr>
              <w:jc w:val="both"/>
              <w:cnfStyle w:val="000000000000" w:firstRow="0" w:lastRow="0" w:firstColumn="0" w:lastColumn="0" w:oddVBand="0" w:evenVBand="0" w:oddHBand="0" w:evenHBand="0" w:firstRowFirstColumn="0" w:firstRowLastColumn="0" w:lastRowFirstColumn="0" w:lastRowLastColumn="0"/>
            </w:pPr>
          </w:p>
        </w:tc>
      </w:tr>
      <w:tr w:rsidR="00397A83" w:rsidTr="00955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7" w:type="dxa"/>
          </w:tcPr>
          <w:p w:rsidR="00397A83" w:rsidRDefault="009C6E5C" w:rsidP="004059D7">
            <w:pPr>
              <w:jc w:val="both"/>
            </w:pPr>
            <w:r>
              <w:t>DEMONSTRATION DE LA CAPACITE D4exploitation de la vigne existante</w:t>
            </w:r>
          </w:p>
        </w:tc>
        <w:tc>
          <w:tcPr>
            <w:tcW w:w="3004" w:type="dxa"/>
          </w:tcPr>
          <w:p w:rsidR="00397A83" w:rsidRDefault="00397A83" w:rsidP="004059D7">
            <w:pPr>
              <w:jc w:val="both"/>
              <w:cnfStyle w:val="000000100000" w:firstRow="0" w:lastRow="0" w:firstColumn="0" w:lastColumn="0" w:oddVBand="0" w:evenVBand="0" w:oddHBand="1" w:evenHBand="0" w:firstRowFirstColumn="0" w:firstRowLastColumn="0" w:lastRowFirstColumn="0" w:lastRowLastColumn="0"/>
            </w:pPr>
            <w:r>
              <w:t xml:space="preserve">      </w:t>
            </w:r>
            <w:r w:rsidR="0095536B">
              <w:t>/5</w:t>
            </w:r>
          </w:p>
        </w:tc>
        <w:tc>
          <w:tcPr>
            <w:tcW w:w="3031" w:type="dxa"/>
          </w:tcPr>
          <w:p w:rsidR="00397A83" w:rsidRDefault="00397A83" w:rsidP="004059D7">
            <w:pPr>
              <w:jc w:val="both"/>
              <w:cnfStyle w:val="000000100000" w:firstRow="0" w:lastRow="0" w:firstColumn="0" w:lastColumn="0" w:oddVBand="0" w:evenVBand="0" w:oddHBand="1" w:evenHBand="0" w:firstRowFirstColumn="0" w:firstRowLastColumn="0" w:lastRowFirstColumn="0" w:lastRowLastColumn="0"/>
            </w:pPr>
          </w:p>
        </w:tc>
      </w:tr>
      <w:tr w:rsidR="00397A83" w:rsidTr="00732BE2">
        <w:trPr>
          <w:trHeight w:val="1629"/>
        </w:trPr>
        <w:tc>
          <w:tcPr>
            <w:cnfStyle w:val="001000000000" w:firstRow="0" w:lastRow="0" w:firstColumn="1" w:lastColumn="0" w:oddVBand="0" w:evenVBand="0" w:oddHBand="0" w:evenHBand="0" w:firstRowFirstColumn="0" w:firstRowLastColumn="0" w:lastRowFirstColumn="0" w:lastRowLastColumn="0"/>
            <w:tcW w:w="3037" w:type="dxa"/>
          </w:tcPr>
          <w:p w:rsidR="009C6E5C" w:rsidRDefault="009C6E5C" w:rsidP="004059D7">
            <w:pPr>
              <w:jc w:val="both"/>
            </w:pPr>
            <w:r>
              <w:t>integration des enjeux lies au caractere patrimonial du lieu</w:t>
            </w:r>
            <w:r w:rsidR="00732BE2">
              <w:t xml:space="preserve"> et des contraintes archeologiques</w:t>
            </w:r>
          </w:p>
          <w:p w:rsidR="00397A83" w:rsidRDefault="0095536B" w:rsidP="004059D7">
            <w:pPr>
              <w:jc w:val="both"/>
            </w:pPr>
            <w:r>
              <w:t xml:space="preserve"> </w:t>
            </w:r>
            <w:r w:rsidR="00732BE2">
              <w:t>prise en compte du partenariat avec museal</w:t>
            </w:r>
          </w:p>
        </w:tc>
        <w:tc>
          <w:tcPr>
            <w:tcW w:w="3004" w:type="dxa"/>
          </w:tcPr>
          <w:p w:rsidR="00397A83" w:rsidRDefault="00397A83" w:rsidP="00732BE2">
            <w:pPr>
              <w:jc w:val="both"/>
              <w:cnfStyle w:val="000000000000" w:firstRow="0" w:lastRow="0" w:firstColumn="0" w:lastColumn="0" w:oddVBand="0" w:evenVBand="0" w:oddHBand="0" w:evenHBand="0" w:firstRowFirstColumn="0" w:firstRowLastColumn="0" w:lastRowFirstColumn="0" w:lastRowLastColumn="0"/>
            </w:pPr>
            <w:r>
              <w:t xml:space="preserve">      </w:t>
            </w:r>
            <w:r w:rsidR="0095536B">
              <w:t>/</w:t>
            </w:r>
            <w:r w:rsidR="00732BE2">
              <w:t>3</w:t>
            </w:r>
          </w:p>
          <w:p w:rsidR="00732BE2" w:rsidRDefault="00732BE2" w:rsidP="00732BE2">
            <w:pPr>
              <w:jc w:val="both"/>
              <w:cnfStyle w:val="000000000000" w:firstRow="0" w:lastRow="0" w:firstColumn="0" w:lastColumn="0" w:oddVBand="0" w:evenVBand="0" w:oddHBand="0" w:evenHBand="0" w:firstRowFirstColumn="0" w:firstRowLastColumn="0" w:lastRowFirstColumn="0" w:lastRowLastColumn="0"/>
            </w:pPr>
          </w:p>
          <w:p w:rsidR="00732BE2" w:rsidRDefault="00732BE2" w:rsidP="00732BE2">
            <w:pPr>
              <w:jc w:val="both"/>
              <w:cnfStyle w:val="000000000000" w:firstRow="0" w:lastRow="0" w:firstColumn="0" w:lastColumn="0" w:oddVBand="0" w:evenVBand="0" w:oddHBand="0" w:evenHBand="0" w:firstRowFirstColumn="0" w:firstRowLastColumn="0" w:lastRowFirstColumn="0" w:lastRowLastColumn="0"/>
            </w:pPr>
          </w:p>
          <w:p w:rsidR="00732BE2" w:rsidRDefault="00732BE2" w:rsidP="00732BE2">
            <w:pPr>
              <w:jc w:val="both"/>
              <w:cnfStyle w:val="000000000000" w:firstRow="0" w:lastRow="0" w:firstColumn="0" w:lastColumn="0" w:oddVBand="0" w:evenVBand="0" w:oddHBand="0" w:evenHBand="0" w:firstRowFirstColumn="0" w:firstRowLastColumn="0" w:lastRowFirstColumn="0" w:lastRowLastColumn="0"/>
            </w:pPr>
          </w:p>
          <w:p w:rsidR="00732BE2" w:rsidRDefault="00732BE2" w:rsidP="00732BE2">
            <w:pPr>
              <w:jc w:val="both"/>
              <w:cnfStyle w:val="000000000000" w:firstRow="0" w:lastRow="0" w:firstColumn="0" w:lastColumn="0" w:oddVBand="0" w:evenVBand="0" w:oddHBand="0" w:evenHBand="0" w:firstRowFirstColumn="0" w:firstRowLastColumn="0" w:lastRowFirstColumn="0" w:lastRowLastColumn="0"/>
            </w:pPr>
          </w:p>
          <w:p w:rsidR="00732BE2" w:rsidRDefault="00732BE2" w:rsidP="00732BE2">
            <w:pPr>
              <w:jc w:val="both"/>
              <w:cnfStyle w:val="000000000000" w:firstRow="0" w:lastRow="0" w:firstColumn="0" w:lastColumn="0" w:oddVBand="0" w:evenVBand="0" w:oddHBand="0" w:evenHBand="0" w:firstRowFirstColumn="0" w:firstRowLastColumn="0" w:lastRowFirstColumn="0" w:lastRowLastColumn="0"/>
            </w:pPr>
            <w:r>
              <w:t xml:space="preserve">      /3</w:t>
            </w:r>
          </w:p>
          <w:p w:rsidR="00732BE2" w:rsidRDefault="00732BE2" w:rsidP="00732BE2">
            <w:pPr>
              <w:jc w:val="both"/>
              <w:cnfStyle w:val="000000000000" w:firstRow="0" w:lastRow="0" w:firstColumn="0" w:lastColumn="0" w:oddVBand="0" w:evenVBand="0" w:oddHBand="0" w:evenHBand="0" w:firstRowFirstColumn="0" w:firstRowLastColumn="0" w:lastRowFirstColumn="0" w:lastRowLastColumn="0"/>
            </w:pPr>
          </w:p>
        </w:tc>
        <w:tc>
          <w:tcPr>
            <w:tcW w:w="3031" w:type="dxa"/>
          </w:tcPr>
          <w:p w:rsidR="00397A83" w:rsidRDefault="00397A83" w:rsidP="004059D7">
            <w:pPr>
              <w:jc w:val="both"/>
              <w:cnfStyle w:val="000000000000" w:firstRow="0" w:lastRow="0" w:firstColumn="0" w:lastColumn="0" w:oddVBand="0" w:evenVBand="0" w:oddHBand="0" w:evenHBand="0" w:firstRowFirstColumn="0" w:firstRowLastColumn="0" w:lastRowFirstColumn="0" w:lastRowLastColumn="0"/>
            </w:pPr>
          </w:p>
        </w:tc>
      </w:tr>
      <w:tr w:rsidR="00732BE2" w:rsidTr="00955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7" w:type="dxa"/>
          </w:tcPr>
          <w:p w:rsidR="00732BE2" w:rsidRDefault="00732BE2" w:rsidP="004059D7">
            <w:pPr>
              <w:jc w:val="both"/>
            </w:pPr>
          </w:p>
        </w:tc>
        <w:tc>
          <w:tcPr>
            <w:tcW w:w="3004" w:type="dxa"/>
          </w:tcPr>
          <w:p w:rsidR="00732BE2" w:rsidRDefault="00732BE2" w:rsidP="00732BE2">
            <w:pPr>
              <w:jc w:val="both"/>
              <w:cnfStyle w:val="000000100000" w:firstRow="0" w:lastRow="0" w:firstColumn="0" w:lastColumn="0" w:oddVBand="0" w:evenVBand="0" w:oddHBand="1" w:evenHBand="0" w:firstRowFirstColumn="0" w:firstRowLastColumn="0" w:lastRowFirstColumn="0" w:lastRowLastColumn="0"/>
            </w:pPr>
          </w:p>
        </w:tc>
        <w:tc>
          <w:tcPr>
            <w:tcW w:w="3031" w:type="dxa"/>
          </w:tcPr>
          <w:p w:rsidR="00732BE2" w:rsidRDefault="00732BE2" w:rsidP="004059D7">
            <w:pPr>
              <w:jc w:val="both"/>
              <w:cnfStyle w:val="000000100000" w:firstRow="0" w:lastRow="0" w:firstColumn="0" w:lastColumn="0" w:oddVBand="0" w:evenVBand="0" w:oddHBand="1" w:evenHBand="0" w:firstRowFirstColumn="0" w:firstRowLastColumn="0" w:lastRowFirstColumn="0" w:lastRowLastColumn="0"/>
            </w:pPr>
          </w:p>
        </w:tc>
      </w:tr>
      <w:tr w:rsidR="00397A83" w:rsidTr="0095536B">
        <w:tc>
          <w:tcPr>
            <w:cnfStyle w:val="001000000000" w:firstRow="0" w:lastRow="0" w:firstColumn="1" w:lastColumn="0" w:oddVBand="0" w:evenVBand="0" w:oddHBand="0" w:evenHBand="0" w:firstRowFirstColumn="0" w:firstRowLastColumn="0" w:lastRowFirstColumn="0" w:lastRowLastColumn="0"/>
            <w:tcW w:w="3037" w:type="dxa"/>
          </w:tcPr>
          <w:p w:rsidR="00397A83" w:rsidRDefault="00397A83" w:rsidP="004059D7">
            <w:pPr>
              <w:jc w:val="both"/>
            </w:pPr>
            <w:r>
              <w:t>TOTAL</w:t>
            </w:r>
          </w:p>
        </w:tc>
        <w:tc>
          <w:tcPr>
            <w:tcW w:w="3004" w:type="dxa"/>
          </w:tcPr>
          <w:p w:rsidR="00397A83" w:rsidRDefault="00397A83" w:rsidP="004059D7">
            <w:pPr>
              <w:jc w:val="both"/>
              <w:cnfStyle w:val="000000000000" w:firstRow="0" w:lastRow="0" w:firstColumn="0" w:lastColumn="0" w:oddVBand="0" w:evenVBand="0" w:oddHBand="0" w:evenHBand="0" w:firstRowFirstColumn="0" w:firstRowLastColumn="0" w:lastRowFirstColumn="0" w:lastRowLastColumn="0"/>
            </w:pPr>
            <w:r>
              <w:t xml:space="preserve">      /20</w:t>
            </w:r>
          </w:p>
        </w:tc>
        <w:tc>
          <w:tcPr>
            <w:tcW w:w="3031" w:type="dxa"/>
          </w:tcPr>
          <w:p w:rsidR="00397A83" w:rsidRDefault="00397A83" w:rsidP="004059D7">
            <w:pPr>
              <w:jc w:val="both"/>
              <w:cnfStyle w:val="000000000000" w:firstRow="0" w:lastRow="0" w:firstColumn="0" w:lastColumn="0" w:oddVBand="0" w:evenVBand="0" w:oddHBand="0" w:evenHBand="0" w:firstRowFirstColumn="0" w:firstRowLastColumn="0" w:lastRowFirstColumn="0" w:lastRowLastColumn="0"/>
            </w:pPr>
          </w:p>
        </w:tc>
      </w:tr>
    </w:tbl>
    <w:p w:rsidR="00843D18" w:rsidRDefault="00843D18" w:rsidP="00F0798E">
      <w:pPr>
        <w:jc w:val="both"/>
        <w:rPr>
          <w:b/>
        </w:rPr>
      </w:pPr>
    </w:p>
    <w:p w:rsidR="002C0D30" w:rsidRPr="002C0D30" w:rsidRDefault="002C0D30" w:rsidP="00843D18">
      <w:pPr>
        <w:spacing w:after="0"/>
        <w:jc w:val="both"/>
        <w:rPr>
          <w:b/>
        </w:rPr>
      </w:pPr>
      <w:r w:rsidRPr="002C0D30">
        <w:rPr>
          <w:b/>
        </w:rPr>
        <w:t>Dépôt de candidature</w:t>
      </w:r>
    </w:p>
    <w:p w:rsidR="00397A83" w:rsidRDefault="00E160AB" w:rsidP="00397A83">
      <w:pPr>
        <w:spacing w:after="0"/>
        <w:jc w:val="both"/>
      </w:pPr>
      <w:r>
        <w:t xml:space="preserve">La date limite du dépôt de candidature est </w:t>
      </w:r>
      <w:r w:rsidR="00104D19">
        <w:t xml:space="preserve">fixée au </w:t>
      </w:r>
      <w:r w:rsidR="007A047B">
        <w:t>9</w:t>
      </w:r>
      <w:r w:rsidR="00893C97">
        <w:t xml:space="preserve"> </w:t>
      </w:r>
      <w:r w:rsidR="007A047B">
        <w:t>déc</w:t>
      </w:r>
      <w:r w:rsidR="00893C97">
        <w:t>embre 2022</w:t>
      </w:r>
      <w:r w:rsidR="00842703">
        <w:t xml:space="preserve">  </w:t>
      </w:r>
      <w:r>
        <w:t xml:space="preserve"> </w:t>
      </w:r>
      <w:r w:rsidR="007764E9">
        <w:t xml:space="preserve">par courrier portant la mention « Appel à Manifestation d’intérêt pour </w:t>
      </w:r>
      <w:r w:rsidR="00DE0D95">
        <w:t>l’</w:t>
      </w:r>
      <w:r w:rsidR="0095536B">
        <w:t xml:space="preserve">exploitation de </w:t>
      </w:r>
      <w:r w:rsidR="00DE0D95">
        <w:t xml:space="preserve">parcelles de vigne sur le site du Pôle archéologique départemental-MuséAl </w:t>
      </w:r>
      <w:r w:rsidR="00397A83">
        <w:t>» :</w:t>
      </w:r>
    </w:p>
    <w:p w:rsidR="00397A83" w:rsidRDefault="00397A83" w:rsidP="00397A83">
      <w:pPr>
        <w:pStyle w:val="Paragraphedeliste"/>
        <w:numPr>
          <w:ilvl w:val="0"/>
          <w:numId w:val="3"/>
        </w:numPr>
        <w:jc w:val="both"/>
      </w:pPr>
      <w:r>
        <w:t>à l’adresse</w:t>
      </w:r>
      <w:r w:rsidR="00104D19">
        <w:t xml:space="preserve"> électronique</w:t>
      </w:r>
      <w:r>
        <w:t xml:space="preserve"> suivante :  </w:t>
      </w:r>
      <w:r w:rsidR="00E160AB">
        <w:t xml:space="preserve"> </w:t>
      </w:r>
      <w:hyperlink r:id="rId7" w:history="1">
        <w:r w:rsidR="00E160AB" w:rsidRPr="009C013F">
          <w:rPr>
            <w:rStyle w:val="Lienhypertexte"/>
          </w:rPr>
          <w:t>museal@ardeche.fr</w:t>
        </w:r>
      </w:hyperlink>
      <w:r w:rsidR="00E160AB">
        <w:t xml:space="preserve"> </w:t>
      </w:r>
    </w:p>
    <w:p w:rsidR="00E160AB" w:rsidRDefault="00397A83" w:rsidP="00397A83">
      <w:pPr>
        <w:ind w:left="360"/>
      </w:pPr>
      <w:proofErr w:type="gramStart"/>
      <w:r>
        <w:t>ou</w:t>
      </w:r>
      <w:proofErr w:type="gramEnd"/>
      <w:r w:rsidR="00E160AB">
        <w:t xml:space="preserve"> </w:t>
      </w:r>
      <w:r w:rsidR="007A4AD7">
        <w:tab/>
        <w:t xml:space="preserve">                                                                 </w:t>
      </w:r>
      <w:r w:rsidR="007A4AD7" w:rsidRPr="00BF6A34">
        <w:rPr>
          <w:rStyle w:val="Lienhypertexte"/>
        </w:rPr>
        <w:t>sgapf@ardeche.fr</w:t>
      </w:r>
      <w:bookmarkStart w:id="0" w:name="_GoBack"/>
      <w:bookmarkEnd w:id="0"/>
    </w:p>
    <w:p w:rsidR="007764E9" w:rsidRDefault="00DE0D95" w:rsidP="00397A83">
      <w:pPr>
        <w:pStyle w:val="Paragraphedeliste"/>
        <w:numPr>
          <w:ilvl w:val="0"/>
          <w:numId w:val="3"/>
        </w:numPr>
        <w:spacing w:after="0"/>
        <w:jc w:val="both"/>
      </w:pPr>
      <w:proofErr w:type="gramStart"/>
      <w:r>
        <w:t>à</w:t>
      </w:r>
      <w:proofErr w:type="gramEnd"/>
      <w:r>
        <w:t xml:space="preserve"> l’adresse</w:t>
      </w:r>
      <w:r w:rsidR="00397A83">
        <w:t xml:space="preserve"> postale suivante :</w:t>
      </w:r>
      <w:r w:rsidR="007764E9">
        <w:t xml:space="preserve"> </w:t>
      </w:r>
    </w:p>
    <w:p w:rsidR="00893C97" w:rsidRDefault="007A4AD7" w:rsidP="007A4AD7">
      <w:pPr>
        <w:spacing w:after="0"/>
        <w:jc w:val="both"/>
        <w:rPr>
          <w:rFonts w:ascii="Calibri" w:hAnsi="Calibri" w:cs="Calibri"/>
          <w:b/>
        </w:rPr>
      </w:pPr>
      <w:r>
        <w:rPr>
          <w:rFonts w:ascii="Calibri" w:hAnsi="Calibri" w:cs="Calibri"/>
          <w:b/>
        </w:rPr>
        <w:t>DEPARTEMENT DE L’ARDECHE</w:t>
      </w:r>
    </w:p>
    <w:p w:rsidR="007A4AD7" w:rsidRDefault="007A4AD7" w:rsidP="007A4AD7">
      <w:pPr>
        <w:spacing w:after="0"/>
        <w:jc w:val="both"/>
        <w:rPr>
          <w:rFonts w:ascii="Calibri" w:hAnsi="Calibri" w:cs="Calibri"/>
          <w:b/>
        </w:rPr>
      </w:pPr>
      <w:r>
        <w:rPr>
          <w:rFonts w:ascii="Calibri" w:hAnsi="Calibri" w:cs="Calibri"/>
          <w:b/>
        </w:rPr>
        <w:t>Service Gestion Administrative du Patrimoine et du Foncier</w:t>
      </w:r>
    </w:p>
    <w:p w:rsidR="007A4AD7" w:rsidRDefault="007A4AD7" w:rsidP="007A4AD7">
      <w:pPr>
        <w:spacing w:after="0"/>
        <w:jc w:val="both"/>
        <w:rPr>
          <w:rFonts w:ascii="Calibri" w:hAnsi="Calibri" w:cs="Calibri"/>
          <w:b/>
        </w:rPr>
      </w:pPr>
      <w:r>
        <w:rPr>
          <w:rFonts w:ascii="Calibri" w:hAnsi="Calibri" w:cs="Calibri"/>
          <w:b/>
        </w:rPr>
        <w:t>La Chaumette – BP 737</w:t>
      </w:r>
    </w:p>
    <w:p w:rsidR="007A4AD7" w:rsidRDefault="007A4AD7" w:rsidP="007A4AD7">
      <w:pPr>
        <w:spacing w:after="0"/>
        <w:jc w:val="both"/>
        <w:rPr>
          <w:rFonts w:ascii="Calibri" w:hAnsi="Calibri" w:cs="Calibri"/>
          <w:b/>
        </w:rPr>
      </w:pPr>
      <w:r>
        <w:rPr>
          <w:rFonts w:ascii="Calibri" w:hAnsi="Calibri" w:cs="Calibri"/>
          <w:b/>
        </w:rPr>
        <w:t>07007 PRIVAS CEDEX</w:t>
      </w:r>
    </w:p>
    <w:p w:rsidR="007764E9" w:rsidRDefault="0095536B" w:rsidP="000C78B8">
      <w:pPr>
        <w:jc w:val="both"/>
        <w:rPr>
          <w:rFonts w:ascii="Calibri" w:hAnsi="Calibri" w:cs="Calibri"/>
          <w:b/>
        </w:rPr>
      </w:pPr>
      <w:r>
        <w:rPr>
          <w:rFonts w:ascii="Calibri" w:hAnsi="Calibri" w:cs="Calibri"/>
          <w:b/>
        </w:rPr>
        <w:t xml:space="preserve">Contact  </w:t>
      </w:r>
    </w:p>
    <w:tbl>
      <w:tblPr>
        <w:tblW w:w="0" w:type="auto"/>
        <w:shd w:val="clear" w:color="auto" w:fill="FFFFFF"/>
        <w:tblCellMar>
          <w:left w:w="0" w:type="dxa"/>
          <w:right w:w="0" w:type="dxa"/>
        </w:tblCellMar>
        <w:tblLook w:val="04A0" w:firstRow="1" w:lastRow="0" w:firstColumn="1" w:lastColumn="0" w:noHBand="0" w:noVBand="1"/>
      </w:tblPr>
      <w:tblGrid>
        <w:gridCol w:w="4810"/>
      </w:tblGrid>
      <w:tr w:rsidR="000C78B8" w:rsidRPr="000C78B8" w:rsidTr="000C78B8">
        <w:trPr>
          <w:trHeight w:val="250"/>
        </w:trPr>
        <w:tc>
          <w:tcPr>
            <w:tcW w:w="1200" w:type="dxa"/>
            <w:shd w:val="clear" w:color="auto" w:fill="FFFFFF"/>
            <w:hideMark/>
          </w:tcPr>
          <w:tbl>
            <w:tblPr>
              <w:tblW w:w="1200" w:type="dxa"/>
              <w:tblCellMar>
                <w:left w:w="0" w:type="dxa"/>
                <w:right w:w="0" w:type="dxa"/>
              </w:tblCellMar>
              <w:tblLook w:val="04A0" w:firstRow="1" w:lastRow="0" w:firstColumn="1" w:lastColumn="0" w:noHBand="0" w:noVBand="1"/>
            </w:tblPr>
            <w:tblGrid>
              <w:gridCol w:w="664"/>
              <w:gridCol w:w="759"/>
            </w:tblGrid>
            <w:tr w:rsidR="000C78B8" w:rsidRPr="000C78B8">
              <w:trPr>
                <w:trHeight w:val="250"/>
              </w:trPr>
              <w:tc>
                <w:tcPr>
                  <w:tcW w:w="600" w:type="dxa"/>
                  <w:noWrap/>
                  <w:hideMark/>
                </w:tcPr>
                <w:tbl>
                  <w:tblPr>
                    <w:tblW w:w="0" w:type="auto"/>
                    <w:tblCellMar>
                      <w:top w:w="15" w:type="dxa"/>
                      <w:left w:w="15" w:type="dxa"/>
                      <w:bottom w:w="15" w:type="dxa"/>
                      <w:right w:w="15" w:type="dxa"/>
                    </w:tblCellMar>
                    <w:tblLook w:val="04A0" w:firstRow="1" w:lastRow="0" w:firstColumn="1" w:lastColumn="0" w:noHBand="0" w:noVBand="1"/>
                  </w:tblPr>
                  <w:tblGrid>
                    <w:gridCol w:w="664"/>
                  </w:tblGrid>
                  <w:tr w:rsidR="000C78B8" w:rsidRPr="000C78B8">
                    <w:tc>
                      <w:tcPr>
                        <w:tcW w:w="0" w:type="auto"/>
                        <w:tcMar>
                          <w:top w:w="0" w:type="dxa"/>
                          <w:left w:w="0" w:type="dxa"/>
                          <w:bottom w:w="0" w:type="dxa"/>
                          <w:right w:w="0" w:type="dxa"/>
                        </w:tcMar>
                        <w:vAlign w:val="center"/>
                        <w:hideMark/>
                      </w:tcPr>
                      <w:p w:rsidR="000C78B8" w:rsidRPr="000C78B8" w:rsidRDefault="000C78B8" w:rsidP="000C78B8">
                        <w:pPr>
                          <w:spacing w:after="0" w:line="220" w:lineRule="atLeast"/>
                          <w:ind w:left="2" w:right="2"/>
                          <w:rPr>
                            <w:rFonts w:ascii="Times New Roman" w:eastAsia="Times New Roman" w:hAnsi="Times New Roman" w:cs="Times New Roman"/>
                            <w:sz w:val="24"/>
                            <w:szCs w:val="24"/>
                            <w:lang w:eastAsia="fr-FR"/>
                          </w:rPr>
                        </w:pPr>
                        <w:r w:rsidRPr="000C78B8">
                          <w:rPr>
                            <w:rFonts w:ascii="Calibri" w:eastAsia="Times New Roman" w:hAnsi="Calibri" w:cs="Calibri"/>
                            <w:b/>
                            <w:bCs/>
                            <w:color w:val="000000"/>
                            <w:bdr w:val="none" w:sz="0" w:space="0" w:color="auto" w:frame="1"/>
                            <w:lang w:eastAsia="fr-FR"/>
                          </w:rPr>
                          <w:t>Nicolas</w:t>
                        </w:r>
                      </w:p>
                    </w:tc>
                  </w:tr>
                </w:tbl>
                <w:p w:rsidR="000C78B8" w:rsidRPr="000C78B8" w:rsidRDefault="000C78B8" w:rsidP="000C78B8">
                  <w:pPr>
                    <w:spacing w:after="0" w:line="240" w:lineRule="auto"/>
                    <w:rPr>
                      <w:rFonts w:ascii="Times New Roman" w:eastAsia="Times New Roman" w:hAnsi="Times New Roman" w:cs="Times New Roman"/>
                      <w:sz w:val="24"/>
                      <w:szCs w:val="24"/>
                      <w:lang w:eastAsia="fr-FR"/>
                    </w:rPr>
                  </w:pPr>
                </w:p>
              </w:tc>
              <w:tc>
                <w:tcPr>
                  <w:tcW w:w="600" w:type="dxa"/>
                  <w:noWrap/>
                  <w:tcMar>
                    <w:top w:w="0" w:type="dxa"/>
                    <w:left w:w="44" w:type="dxa"/>
                    <w:bottom w:w="0" w:type="dxa"/>
                    <w:right w:w="0"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715"/>
                  </w:tblGrid>
                  <w:tr w:rsidR="000C78B8" w:rsidRPr="000C78B8">
                    <w:tc>
                      <w:tcPr>
                        <w:tcW w:w="0" w:type="auto"/>
                        <w:tcMar>
                          <w:top w:w="0" w:type="dxa"/>
                          <w:left w:w="0" w:type="dxa"/>
                          <w:bottom w:w="0" w:type="dxa"/>
                          <w:right w:w="0" w:type="dxa"/>
                        </w:tcMar>
                        <w:vAlign w:val="center"/>
                        <w:hideMark/>
                      </w:tcPr>
                      <w:p w:rsidR="000C78B8" w:rsidRPr="000C78B8" w:rsidRDefault="000C78B8" w:rsidP="000C78B8">
                        <w:pPr>
                          <w:spacing w:after="0" w:line="220" w:lineRule="atLeast"/>
                          <w:ind w:left="2" w:right="2"/>
                          <w:rPr>
                            <w:rFonts w:ascii="Times New Roman" w:eastAsia="Times New Roman" w:hAnsi="Times New Roman" w:cs="Times New Roman"/>
                            <w:sz w:val="24"/>
                            <w:szCs w:val="24"/>
                            <w:lang w:eastAsia="fr-FR"/>
                          </w:rPr>
                        </w:pPr>
                        <w:r w:rsidRPr="000C78B8">
                          <w:rPr>
                            <w:rFonts w:ascii="Calibri" w:eastAsia="Times New Roman" w:hAnsi="Calibri" w:cs="Calibri"/>
                            <w:b/>
                            <w:bCs/>
                            <w:color w:val="000000"/>
                            <w:bdr w:val="none" w:sz="0" w:space="0" w:color="auto" w:frame="1"/>
                            <w:lang w:eastAsia="fr-FR"/>
                          </w:rPr>
                          <w:t>LATEUR</w:t>
                        </w:r>
                      </w:p>
                    </w:tc>
                  </w:tr>
                </w:tbl>
                <w:p w:rsidR="000C78B8" w:rsidRPr="000C78B8" w:rsidRDefault="000C78B8" w:rsidP="000C78B8">
                  <w:pPr>
                    <w:spacing w:after="0" w:line="240" w:lineRule="auto"/>
                    <w:rPr>
                      <w:rFonts w:ascii="Times New Roman" w:eastAsia="Times New Roman" w:hAnsi="Times New Roman" w:cs="Times New Roman"/>
                      <w:sz w:val="24"/>
                      <w:szCs w:val="24"/>
                      <w:lang w:eastAsia="fr-FR"/>
                    </w:rPr>
                  </w:pPr>
                </w:p>
              </w:tc>
            </w:tr>
          </w:tbl>
          <w:p w:rsidR="000C78B8" w:rsidRPr="000C78B8" w:rsidRDefault="000C78B8" w:rsidP="000C78B8">
            <w:pPr>
              <w:spacing w:after="0" w:line="240" w:lineRule="auto"/>
              <w:rPr>
                <w:rFonts w:ascii="Segoe UI" w:eastAsia="Times New Roman" w:hAnsi="Segoe UI" w:cs="Segoe UI"/>
                <w:color w:val="201F1E"/>
                <w:sz w:val="23"/>
                <w:szCs w:val="23"/>
                <w:lang w:eastAsia="fr-FR"/>
              </w:rPr>
            </w:pPr>
          </w:p>
        </w:tc>
      </w:tr>
      <w:tr w:rsidR="000C78B8" w:rsidRPr="000C78B8" w:rsidTr="000C78B8">
        <w:trPr>
          <w:trHeight w:val="250"/>
        </w:trPr>
        <w:tc>
          <w:tcPr>
            <w:tcW w:w="0" w:type="auto"/>
            <w:shd w:val="clear" w:color="auto" w:fill="FFFFFF"/>
            <w:noWrap/>
            <w:hideMark/>
          </w:tcPr>
          <w:tbl>
            <w:tblPr>
              <w:tblW w:w="0" w:type="auto"/>
              <w:tblCellMar>
                <w:top w:w="15" w:type="dxa"/>
                <w:left w:w="15" w:type="dxa"/>
                <w:bottom w:w="15" w:type="dxa"/>
                <w:right w:w="15" w:type="dxa"/>
              </w:tblCellMar>
              <w:tblLook w:val="04A0" w:firstRow="1" w:lastRow="0" w:firstColumn="1" w:lastColumn="0" w:noHBand="0" w:noVBand="1"/>
            </w:tblPr>
            <w:tblGrid>
              <w:gridCol w:w="4485"/>
            </w:tblGrid>
            <w:tr w:rsidR="000C78B8" w:rsidRPr="000C78B8">
              <w:tc>
                <w:tcPr>
                  <w:tcW w:w="0" w:type="auto"/>
                  <w:tcMar>
                    <w:top w:w="0" w:type="dxa"/>
                    <w:left w:w="0" w:type="dxa"/>
                    <w:bottom w:w="0" w:type="dxa"/>
                    <w:right w:w="0" w:type="dxa"/>
                  </w:tcMar>
                  <w:vAlign w:val="center"/>
                  <w:hideMark/>
                </w:tcPr>
                <w:p w:rsidR="000C78B8" w:rsidRPr="000C78B8" w:rsidRDefault="000C78B8" w:rsidP="000C78B8">
                  <w:pPr>
                    <w:spacing w:after="0" w:line="220" w:lineRule="atLeast"/>
                    <w:ind w:left="2" w:right="2"/>
                    <w:rPr>
                      <w:rFonts w:ascii="Times New Roman" w:eastAsia="Times New Roman" w:hAnsi="Times New Roman" w:cs="Times New Roman"/>
                      <w:sz w:val="24"/>
                      <w:szCs w:val="24"/>
                      <w:lang w:eastAsia="fr-FR"/>
                    </w:rPr>
                  </w:pPr>
                  <w:r w:rsidRPr="000C78B8">
                    <w:rPr>
                      <w:rFonts w:ascii="Calibri" w:eastAsia="Times New Roman" w:hAnsi="Calibri" w:cs="Calibri"/>
                      <w:color w:val="000000"/>
                      <w:bdr w:val="none" w:sz="0" w:space="0" w:color="auto" w:frame="1"/>
                      <w:lang w:eastAsia="fr-FR"/>
                    </w:rPr>
                    <w:t>Archéologue </w:t>
                  </w:r>
                  <w:r w:rsidRPr="000C78B8">
                    <w:rPr>
                      <w:rFonts w:ascii="Calibri" w:eastAsia="Times New Roman" w:hAnsi="Calibri" w:cs="Calibri"/>
                      <w:color w:val="000000"/>
                      <w:bdr w:val="none" w:sz="0" w:space="0" w:color="auto" w:frame="1"/>
                      <w:lang w:eastAsia="fr-FR"/>
                    </w:rPr>
                    <w:noBreakHyphen/>
                    <w:t> régisseur des collections de </w:t>
                  </w:r>
                  <w:proofErr w:type="spellStart"/>
                  <w:r w:rsidRPr="000C78B8">
                    <w:rPr>
                      <w:rFonts w:ascii="Calibri" w:eastAsia="Times New Roman" w:hAnsi="Calibri" w:cs="Calibri"/>
                      <w:color w:val="000000"/>
                      <w:bdr w:val="none" w:sz="0" w:space="0" w:color="auto" w:frame="1"/>
                      <w:lang w:eastAsia="fr-FR"/>
                    </w:rPr>
                    <w:t>MuséAl</w:t>
                  </w:r>
                  <w:proofErr w:type="spellEnd"/>
                </w:p>
              </w:tc>
            </w:tr>
          </w:tbl>
          <w:p w:rsidR="000C78B8" w:rsidRPr="000C78B8" w:rsidRDefault="000C78B8" w:rsidP="000C78B8">
            <w:pPr>
              <w:spacing w:after="0" w:line="240" w:lineRule="auto"/>
              <w:rPr>
                <w:rFonts w:ascii="Segoe UI" w:eastAsia="Times New Roman" w:hAnsi="Segoe UI" w:cs="Segoe UI"/>
                <w:color w:val="201F1E"/>
                <w:sz w:val="23"/>
                <w:szCs w:val="23"/>
                <w:lang w:eastAsia="fr-FR"/>
              </w:rPr>
            </w:pPr>
          </w:p>
        </w:tc>
      </w:tr>
      <w:tr w:rsidR="000C78B8" w:rsidRPr="000C78B8" w:rsidTr="000C78B8">
        <w:trPr>
          <w:trHeight w:val="250"/>
        </w:trPr>
        <w:tc>
          <w:tcPr>
            <w:tcW w:w="0" w:type="auto"/>
            <w:shd w:val="clear" w:color="auto" w:fill="FFFFFF"/>
            <w:noWrap/>
            <w:hideMark/>
          </w:tcPr>
          <w:tbl>
            <w:tblPr>
              <w:tblW w:w="0" w:type="auto"/>
              <w:tblCellMar>
                <w:top w:w="15" w:type="dxa"/>
                <w:left w:w="15" w:type="dxa"/>
                <w:bottom w:w="15" w:type="dxa"/>
                <w:right w:w="15" w:type="dxa"/>
              </w:tblCellMar>
              <w:tblLook w:val="04A0" w:firstRow="1" w:lastRow="0" w:firstColumn="1" w:lastColumn="0" w:noHBand="0" w:noVBand="1"/>
            </w:tblPr>
            <w:tblGrid>
              <w:gridCol w:w="4810"/>
            </w:tblGrid>
            <w:tr w:rsidR="000C78B8" w:rsidRPr="000C78B8">
              <w:tc>
                <w:tcPr>
                  <w:tcW w:w="0" w:type="auto"/>
                  <w:tcMar>
                    <w:top w:w="0" w:type="dxa"/>
                    <w:left w:w="0" w:type="dxa"/>
                    <w:bottom w:w="0" w:type="dxa"/>
                    <w:right w:w="0" w:type="dxa"/>
                  </w:tcMar>
                  <w:vAlign w:val="center"/>
                  <w:hideMark/>
                </w:tcPr>
                <w:p w:rsidR="000C78B8" w:rsidRPr="000C78B8" w:rsidRDefault="000C78B8" w:rsidP="000C78B8">
                  <w:pPr>
                    <w:spacing w:after="0" w:line="220" w:lineRule="atLeast"/>
                    <w:ind w:left="2" w:right="2"/>
                    <w:rPr>
                      <w:rFonts w:ascii="Times New Roman" w:eastAsia="Times New Roman" w:hAnsi="Times New Roman" w:cs="Times New Roman"/>
                      <w:sz w:val="24"/>
                      <w:szCs w:val="24"/>
                      <w:lang w:eastAsia="fr-FR"/>
                    </w:rPr>
                  </w:pPr>
                  <w:r w:rsidRPr="000C78B8">
                    <w:rPr>
                      <w:rFonts w:ascii="Calibri" w:eastAsia="Times New Roman" w:hAnsi="Calibri" w:cs="Calibri"/>
                      <w:color w:val="000000"/>
                      <w:bdr w:val="none" w:sz="0" w:space="0" w:color="auto" w:frame="1"/>
                      <w:lang w:eastAsia="fr-FR"/>
                    </w:rPr>
                    <w:t>SERVICE ARCHEOLOGIQUE DEPARTEMENTAL MUSEAL</w:t>
                  </w:r>
                </w:p>
              </w:tc>
            </w:tr>
          </w:tbl>
          <w:p w:rsidR="000C78B8" w:rsidRPr="000C78B8" w:rsidRDefault="000C78B8" w:rsidP="000C78B8">
            <w:pPr>
              <w:spacing w:after="0" w:line="240" w:lineRule="auto"/>
              <w:rPr>
                <w:rFonts w:ascii="Segoe UI" w:eastAsia="Times New Roman" w:hAnsi="Segoe UI" w:cs="Segoe UI"/>
                <w:color w:val="201F1E"/>
                <w:sz w:val="23"/>
                <w:szCs w:val="23"/>
                <w:lang w:eastAsia="fr-FR"/>
              </w:rPr>
            </w:pPr>
          </w:p>
        </w:tc>
      </w:tr>
      <w:tr w:rsidR="000C78B8" w:rsidRPr="000C78B8" w:rsidTr="000C78B8">
        <w:trPr>
          <w:trHeight w:val="250"/>
        </w:trPr>
        <w:tc>
          <w:tcPr>
            <w:tcW w:w="600" w:type="dxa"/>
            <w:shd w:val="clear" w:color="auto" w:fill="FFFFFF"/>
            <w:hideMark/>
          </w:tcPr>
          <w:tbl>
            <w:tblPr>
              <w:tblW w:w="600" w:type="dxa"/>
              <w:tblCellMar>
                <w:left w:w="0" w:type="dxa"/>
                <w:right w:w="0" w:type="dxa"/>
              </w:tblCellMar>
              <w:tblLook w:val="04A0" w:firstRow="1" w:lastRow="0" w:firstColumn="1" w:lastColumn="0" w:noHBand="0" w:noVBand="1"/>
            </w:tblPr>
            <w:tblGrid>
              <w:gridCol w:w="1120"/>
              <w:gridCol w:w="1605"/>
            </w:tblGrid>
            <w:tr w:rsidR="000C78B8" w:rsidRPr="000C78B8">
              <w:trPr>
                <w:trHeight w:val="250"/>
              </w:trPr>
              <w:tc>
                <w:tcPr>
                  <w:tcW w:w="300" w:type="dxa"/>
                  <w:noWrap/>
                  <w:hideMark/>
                </w:tcPr>
                <w:tbl>
                  <w:tblPr>
                    <w:tblW w:w="0" w:type="auto"/>
                    <w:tblCellMar>
                      <w:top w:w="15" w:type="dxa"/>
                      <w:left w:w="15" w:type="dxa"/>
                      <w:bottom w:w="15" w:type="dxa"/>
                      <w:right w:w="15" w:type="dxa"/>
                    </w:tblCellMar>
                    <w:tblLook w:val="04A0" w:firstRow="1" w:lastRow="0" w:firstColumn="1" w:lastColumn="0" w:noHBand="0" w:noVBand="1"/>
                  </w:tblPr>
                  <w:tblGrid>
                    <w:gridCol w:w="1120"/>
                  </w:tblGrid>
                  <w:tr w:rsidR="000C78B8" w:rsidRPr="000C78B8">
                    <w:tc>
                      <w:tcPr>
                        <w:tcW w:w="0" w:type="auto"/>
                        <w:tcMar>
                          <w:top w:w="0" w:type="dxa"/>
                          <w:left w:w="0" w:type="dxa"/>
                          <w:bottom w:w="0" w:type="dxa"/>
                          <w:right w:w="0" w:type="dxa"/>
                        </w:tcMar>
                        <w:vAlign w:val="center"/>
                        <w:hideMark/>
                      </w:tcPr>
                      <w:p w:rsidR="000C78B8" w:rsidRPr="000C78B8" w:rsidRDefault="000C78B8" w:rsidP="000C78B8">
                        <w:pPr>
                          <w:spacing w:after="0" w:line="220" w:lineRule="atLeast"/>
                          <w:ind w:left="2" w:right="2"/>
                          <w:rPr>
                            <w:rFonts w:ascii="Times New Roman" w:eastAsia="Times New Roman" w:hAnsi="Times New Roman" w:cs="Times New Roman"/>
                            <w:sz w:val="24"/>
                            <w:szCs w:val="24"/>
                            <w:lang w:eastAsia="fr-FR"/>
                          </w:rPr>
                        </w:pPr>
                        <w:r w:rsidRPr="000C78B8">
                          <w:rPr>
                            <w:rFonts w:ascii="Calibri" w:eastAsia="Times New Roman" w:hAnsi="Calibri" w:cs="Calibri"/>
                            <w:color w:val="000000"/>
                            <w:bdr w:val="none" w:sz="0" w:space="0" w:color="auto" w:frame="1"/>
                            <w:lang w:eastAsia="fr-FR"/>
                          </w:rPr>
                          <w:t>0475495177</w:t>
                        </w:r>
                      </w:p>
                    </w:tc>
                  </w:tr>
                </w:tbl>
                <w:p w:rsidR="000C78B8" w:rsidRPr="000C78B8" w:rsidRDefault="000C78B8" w:rsidP="000C78B8">
                  <w:pPr>
                    <w:spacing w:after="0" w:line="240" w:lineRule="auto"/>
                    <w:rPr>
                      <w:rFonts w:ascii="Times New Roman" w:eastAsia="Times New Roman" w:hAnsi="Times New Roman" w:cs="Times New Roman"/>
                      <w:sz w:val="24"/>
                      <w:szCs w:val="24"/>
                      <w:lang w:eastAsia="fr-FR"/>
                    </w:rPr>
                  </w:pPr>
                </w:p>
              </w:tc>
              <w:tc>
                <w:tcPr>
                  <w:tcW w:w="300" w:type="dxa"/>
                  <w:noWrap/>
                  <w:tcMar>
                    <w:top w:w="0" w:type="dxa"/>
                    <w:left w:w="44" w:type="dxa"/>
                    <w:bottom w:w="0" w:type="dxa"/>
                    <w:right w:w="0"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189"/>
                    <w:gridCol w:w="54"/>
                    <w:gridCol w:w="1318"/>
                  </w:tblGrid>
                  <w:tr w:rsidR="000C78B8" w:rsidRPr="000C78B8">
                    <w:tc>
                      <w:tcPr>
                        <w:tcW w:w="0" w:type="auto"/>
                        <w:tcMar>
                          <w:top w:w="0" w:type="dxa"/>
                          <w:left w:w="0" w:type="dxa"/>
                          <w:bottom w:w="0" w:type="dxa"/>
                          <w:right w:w="0" w:type="dxa"/>
                        </w:tcMar>
                        <w:vAlign w:val="center"/>
                        <w:hideMark/>
                      </w:tcPr>
                      <w:p w:rsidR="000C78B8" w:rsidRPr="000C78B8" w:rsidRDefault="000C78B8" w:rsidP="000C78B8">
                        <w:pPr>
                          <w:spacing w:after="0" w:line="220" w:lineRule="atLeast"/>
                          <w:ind w:left="2" w:right="2"/>
                          <w:rPr>
                            <w:rFonts w:ascii="Times New Roman" w:eastAsia="Times New Roman" w:hAnsi="Times New Roman" w:cs="Times New Roman"/>
                            <w:sz w:val="24"/>
                            <w:szCs w:val="24"/>
                            <w:lang w:eastAsia="fr-FR"/>
                          </w:rPr>
                        </w:pPr>
                        <w:r w:rsidRPr="000C78B8">
                          <w:rPr>
                            <w:rFonts w:ascii="Calibri" w:eastAsia="Times New Roman" w:hAnsi="Calibri" w:cs="Calibri"/>
                            <w:color w:val="000000"/>
                            <w:bdr w:val="none" w:sz="0" w:space="0" w:color="auto" w:frame="1"/>
                            <w:lang w:eastAsia="fr-FR"/>
                          </w:rPr>
                          <w:t> / </w:t>
                        </w:r>
                      </w:p>
                    </w:tc>
                    <w:tc>
                      <w:tcPr>
                        <w:tcW w:w="0" w:type="auto"/>
                        <w:tcMar>
                          <w:top w:w="0" w:type="dxa"/>
                          <w:left w:w="0" w:type="dxa"/>
                          <w:bottom w:w="0" w:type="dxa"/>
                          <w:right w:w="0" w:type="dxa"/>
                        </w:tcMar>
                        <w:vAlign w:val="center"/>
                        <w:hideMark/>
                      </w:tcPr>
                      <w:p w:rsidR="000C78B8" w:rsidRPr="000C78B8" w:rsidRDefault="000C78B8" w:rsidP="000C78B8">
                        <w:pPr>
                          <w:spacing w:after="0" w:line="220" w:lineRule="atLeast"/>
                          <w:ind w:left="2" w:right="2"/>
                          <w:rPr>
                            <w:rFonts w:ascii="Times New Roman" w:eastAsia="Times New Roman" w:hAnsi="Times New Roman" w:cs="Times New Roman"/>
                            <w:sz w:val="24"/>
                            <w:szCs w:val="24"/>
                            <w:lang w:eastAsia="fr-FR"/>
                          </w:rPr>
                        </w:pPr>
                        <w:r w:rsidRPr="000C78B8">
                          <w:rPr>
                            <w:rFonts w:ascii="Calibri" w:eastAsia="Times New Roman" w:hAnsi="Calibri" w:cs="Calibri"/>
                            <w:color w:val="000000"/>
                            <w:bdr w:val="none" w:sz="0" w:space="0" w:color="auto" w:frame="1"/>
                            <w:lang w:eastAsia="fr-FR"/>
                          </w:rPr>
                          <w:t> </w:t>
                        </w:r>
                      </w:p>
                    </w:tc>
                    <w:tc>
                      <w:tcPr>
                        <w:tcW w:w="0" w:type="auto"/>
                        <w:tcMar>
                          <w:top w:w="0" w:type="dxa"/>
                          <w:left w:w="0" w:type="dxa"/>
                          <w:bottom w:w="0" w:type="dxa"/>
                          <w:right w:w="0" w:type="dxa"/>
                        </w:tcMar>
                        <w:vAlign w:val="center"/>
                        <w:hideMark/>
                      </w:tcPr>
                      <w:p w:rsidR="000C78B8" w:rsidRPr="000C78B8" w:rsidRDefault="000C78B8" w:rsidP="000C78B8">
                        <w:pPr>
                          <w:spacing w:after="0" w:line="220" w:lineRule="atLeast"/>
                          <w:ind w:left="2" w:right="2"/>
                          <w:rPr>
                            <w:rFonts w:ascii="Times New Roman" w:eastAsia="Times New Roman" w:hAnsi="Times New Roman" w:cs="Times New Roman"/>
                            <w:sz w:val="24"/>
                            <w:szCs w:val="24"/>
                            <w:lang w:eastAsia="fr-FR"/>
                          </w:rPr>
                        </w:pPr>
                        <w:r w:rsidRPr="000C78B8">
                          <w:rPr>
                            <w:rFonts w:ascii="Calibri" w:eastAsia="Times New Roman" w:hAnsi="Calibri" w:cs="Calibri"/>
                            <w:color w:val="000000"/>
                            <w:bdr w:val="none" w:sz="0" w:space="0" w:color="auto" w:frame="1"/>
                            <w:lang w:eastAsia="fr-FR"/>
                          </w:rPr>
                          <w:t>06 18 90 96 98</w:t>
                        </w:r>
                      </w:p>
                    </w:tc>
                  </w:tr>
                </w:tbl>
                <w:p w:rsidR="000C78B8" w:rsidRPr="000C78B8" w:rsidRDefault="000C78B8" w:rsidP="000C78B8">
                  <w:pPr>
                    <w:spacing w:after="0" w:line="240" w:lineRule="auto"/>
                    <w:rPr>
                      <w:rFonts w:ascii="Times New Roman" w:eastAsia="Times New Roman" w:hAnsi="Times New Roman" w:cs="Times New Roman"/>
                      <w:sz w:val="24"/>
                      <w:szCs w:val="24"/>
                      <w:lang w:eastAsia="fr-FR"/>
                    </w:rPr>
                  </w:pPr>
                </w:p>
              </w:tc>
            </w:tr>
          </w:tbl>
          <w:p w:rsidR="000C78B8" w:rsidRPr="000C78B8" w:rsidRDefault="000C78B8" w:rsidP="000C78B8">
            <w:pPr>
              <w:spacing w:after="0" w:line="240" w:lineRule="auto"/>
              <w:rPr>
                <w:rFonts w:ascii="Segoe UI" w:eastAsia="Times New Roman" w:hAnsi="Segoe UI" w:cs="Segoe UI"/>
                <w:color w:val="201F1E"/>
                <w:sz w:val="23"/>
                <w:szCs w:val="23"/>
                <w:lang w:eastAsia="fr-FR"/>
              </w:rPr>
            </w:pPr>
          </w:p>
        </w:tc>
      </w:tr>
    </w:tbl>
    <w:p w:rsidR="000C78B8" w:rsidRDefault="000C78B8" w:rsidP="007A4AD7">
      <w:pPr>
        <w:jc w:val="both"/>
        <w:rPr>
          <w:rFonts w:ascii="Calibri" w:hAnsi="Calibri" w:cs="Calibri"/>
        </w:rPr>
      </w:pPr>
    </w:p>
    <w:sectPr w:rsidR="000C78B8" w:rsidSect="00A26B1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88" w:rsidRDefault="00CD5688" w:rsidP="00F701AC">
      <w:pPr>
        <w:spacing w:after="0" w:line="240" w:lineRule="auto"/>
      </w:pPr>
      <w:r>
        <w:separator/>
      </w:r>
    </w:p>
  </w:endnote>
  <w:endnote w:type="continuationSeparator" w:id="0">
    <w:p w:rsidR="00CD5688" w:rsidRDefault="00CD5688" w:rsidP="00F7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88" w:rsidRDefault="00CD5688" w:rsidP="00F701AC">
      <w:pPr>
        <w:spacing w:after="0" w:line="240" w:lineRule="auto"/>
      </w:pPr>
      <w:r>
        <w:separator/>
      </w:r>
    </w:p>
  </w:footnote>
  <w:footnote w:type="continuationSeparator" w:id="0">
    <w:p w:rsidR="00CD5688" w:rsidRDefault="00CD5688" w:rsidP="00F70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AC" w:rsidRDefault="00C263A3">
    <w:pPr>
      <w:pStyle w:val="En-tte"/>
    </w:pPr>
    <w:r w:rsidRPr="001E03F8">
      <w:rPr>
        <w:noProof/>
        <w:lang w:eastAsia="fr-FR"/>
      </w:rPr>
      <w:drawing>
        <wp:inline distT="0" distB="0" distL="0" distR="0" wp14:anchorId="1DF25A07" wp14:editId="757481E7">
          <wp:extent cx="1828800" cy="514350"/>
          <wp:effectExtent l="0" t="0" r="0" b="0"/>
          <wp:docPr id="3" name="Image 3" descr="http://mediatheque-intranet07-zigzag/Territoire%20institution/Ardeche%20le%20Departement_2021_Q.png?1053141801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mediatheque-intranet07-zigzag/Territoire%20institution/Ardeche%20le%20Departement_2021_Q.png?105314180120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14350"/>
                  </a:xfrm>
                  <a:prstGeom prst="rect">
                    <a:avLst/>
                  </a:prstGeom>
                  <a:noFill/>
                  <a:ln>
                    <a:noFill/>
                  </a:ln>
                </pic:spPr>
              </pic:pic>
            </a:graphicData>
          </a:graphic>
        </wp:inline>
      </w:drawing>
    </w:r>
    <w:r w:rsidRPr="00F701AC">
      <w:rPr>
        <w:noProof/>
        <w:lang w:eastAsia="fr-FR"/>
      </w:rPr>
      <w:drawing>
        <wp:anchor distT="0" distB="0" distL="114300" distR="114300" simplePos="0" relativeHeight="251658240" behindDoc="0" locked="0" layoutInCell="1" allowOverlap="1">
          <wp:simplePos x="0" y="0"/>
          <wp:positionH relativeFrom="margin">
            <wp:posOffset>-3695700</wp:posOffset>
          </wp:positionH>
          <wp:positionV relativeFrom="paragraph">
            <wp:posOffset>-449580</wp:posOffset>
          </wp:positionV>
          <wp:extent cx="1866900" cy="586740"/>
          <wp:effectExtent l="0" t="0" r="0" b="3810"/>
          <wp:wrapSquare wrapText="bothSides"/>
          <wp:docPr id="1" name="Image 1" descr="C:\Users\aklee\Downloads\07_logo_quad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lee\Downloads\07_logo_quadr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586740"/>
                  </a:xfrm>
                  <a:prstGeom prst="rect">
                    <a:avLst/>
                  </a:prstGeom>
                  <a:noFill/>
                  <a:ln>
                    <a:noFill/>
                  </a:ln>
                </pic:spPr>
              </pic:pic>
            </a:graphicData>
          </a:graphic>
        </wp:anchor>
      </w:drawing>
    </w:r>
    <w:r w:rsidR="00F701AC" w:rsidRPr="00F701AC">
      <w:rPr>
        <w:noProof/>
        <w:lang w:eastAsia="fr-FR"/>
      </w:rPr>
      <w:drawing>
        <wp:anchor distT="0" distB="0" distL="114300" distR="114300" simplePos="0" relativeHeight="251659264" behindDoc="0" locked="0" layoutInCell="1" allowOverlap="1">
          <wp:simplePos x="0" y="0"/>
          <wp:positionH relativeFrom="margin">
            <wp:posOffset>4119880</wp:posOffset>
          </wp:positionH>
          <wp:positionV relativeFrom="paragraph">
            <wp:posOffset>-230505</wp:posOffset>
          </wp:positionV>
          <wp:extent cx="1885950" cy="513080"/>
          <wp:effectExtent l="0" t="0" r="0" b="1270"/>
          <wp:wrapSquare wrapText="bothSides"/>
          <wp:docPr id="2" name="Image 2" descr="C:\Users\aklee\Downloads\logo-museal-n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klee\Downloads\logo-museal-noi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5950" cy="513080"/>
                  </a:xfrm>
                  <a:prstGeom prst="rect">
                    <a:avLst/>
                  </a:prstGeom>
                  <a:noFill/>
                  <a:ln>
                    <a:noFill/>
                  </a:ln>
                </pic:spPr>
              </pic:pic>
            </a:graphicData>
          </a:graphic>
        </wp:anchor>
      </w:drawing>
    </w:r>
  </w:p>
  <w:p w:rsidR="00F701AC" w:rsidRDefault="00F701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A8F"/>
    <w:multiLevelType w:val="hybridMultilevel"/>
    <w:tmpl w:val="49B652AA"/>
    <w:lvl w:ilvl="0" w:tplc="039011DA">
      <w:start w:val="99"/>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2F74C3A"/>
    <w:multiLevelType w:val="hybridMultilevel"/>
    <w:tmpl w:val="51E4E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A62984"/>
    <w:multiLevelType w:val="hybridMultilevel"/>
    <w:tmpl w:val="28AA4E02"/>
    <w:lvl w:ilvl="0" w:tplc="4E72EB8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9C45A3"/>
    <w:multiLevelType w:val="hybridMultilevel"/>
    <w:tmpl w:val="4DE6F438"/>
    <w:lvl w:ilvl="0" w:tplc="039011DA">
      <w:start w:val="9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EF5D8D"/>
    <w:multiLevelType w:val="hybridMultilevel"/>
    <w:tmpl w:val="8E0E5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8E"/>
    <w:rsid w:val="000069A0"/>
    <w:rsid w:val="000C78B8"/>
    <w:rsid w:val="00104D19"/>
    <w:rsid w:val="00106B99"/>
    <w:rsid w:val="0015749F"/>
    <w:rsid w:val="00157AA3"/>
    <w:rsid w:val="001E3B4B"/>
    <w:rsid w:val="0020772B"/>
    <w:rsid w:val="002243D1"/>
    <w:rsid w:val="00226CD9"/>
    <w:rsid w:val="002C0D30"/>
    <w:rsid w:val="002E0AA2"/>
    <w:rsid w:val="00397A83"/>
    <w:rsid w:val="003D646E"/>
    <w:rsid w:val="003E6319"/>
    <w:rsid w:val="003F44F5"/>
    <w:rsid w:val="00463D19"/>
    <w:rsid w:val="004859BF"/>
    <w:rsid w:val="004A08CE"/>
    <w:rsid w:val="004C0D33"/>
    <w:rsid w:val="004D47A1"/>
    <w:rsid w:val="00530BBF"/>
    <w:rsid w:val="00577236"/>
    <w:rsid w:val="00586E24"/>
    <w:rsid w:val="005E2560"/>
    <w:rsid w:val="00674034"/>
    <w:rsid w:val="006753F1"/>
    <w:rsid w:val="00695664"/>
    <w:rsid w:val="006B6A41"/>
    <w:rsid w:val="006C6B5D"/>
    <w:rsid w:val="0071421B"/>
    <w:rsid w:val="00732BE2"/>
    <w:rsid w:val="007764E9"/>
    <w:rsid w:val="00790384"/>
    <w:rsid w:val="007A047B"/>
    <w:rsid w:val="007A4AD7"/>
    <w:rsid w:val="007E247C"/>
    <w:rsid w:val="00842703"/>
    <w:rsid w:val="0084391E"/>
    <w:rsid w:val="00843D18"/>
    <w:rsid w:val="00893C97"/>
    <w:rsid w:val="008D59FC"/>
    <w:rsid w:val="0090373F"/>
    <w:rsid w:val="009273DF"/>
    <w:rsid w:val="009470E1"/>
    <w:rsid w:val="0095536B"/>
    <w:rsid w:val="00980662"/>
    <w:rsid w:val="00981598"/>
    <w:rsid w:val="00983485"/>
    <w:rsid w:val="00983528"/>
    <w:rsid w:val="00990C8D"/>
    <w:rsid w:val="009C6E5C"/>
    <w:rsid w:val="009D5FCA"/>
    <w:rsid w:val="00A20018"/>
    <w:rsid w:val="00A26B11"/>
    <w:rsid w:val="00A43EB4"/>
    <w:rsid w:val="00AA25EB"/>
    <w:rsid w:val="00AC0271"/>
    <w:rsid w:val="00B351AF"/>
    <w:rsid w:val="00B50387"/>
    <w:rsid w:val="00B83F86"/>
    <w:rsid w:val="00B868A2"/>
    <w:rsid w:val="00B95471"/>
    <w:rsid w:val="00BB2E6E"/>
    <w:rsid w:val="00BF6A34"/>
    <w:rsid w:val="00C012C2"/>
    <w:rsid w:val="00C263A3"/>
    <w:rsid w:val="00CD5688"/>
    <w:rsid w:val="00CD7D0F"/>
    <w:rsid w:val="00D119C0"/>
    <w:rsid w:val="00D52BC9"/>
    <w:rsid w:val="00D72ADA"/>
    <w:rsid w:val="00D86A6D"/>
    <w:rsid w:val="00DE0D95"/>
    <w:rsid w:val="00DE7323"/>
    <w:rsid w:val="00E07535"/>
    <w:rsid w:val="00E160AB"/>
    <w:rsid w:val="00E21D6F"/>
    <w:rsid w:val="00E50C7C"/>
    <w:rsid w:val="00E97EBB"/>
    <w:rsid w:val="00EB0467"/>
    <w:rsid w:val="00EB3DC3"/>
    <w:rsid w:val="00EF21FD"/>
    <w:rsid w:val="00EF7755"/>
    <w:rsid w:val="00F0798E"/>
    <w:rsid w:val="00F701AC"/>
    <w:rsid w:val="00F92105"/>
    <w:rsid w:val="00FB374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D005"/>
  <w15:docId w15:val="{CB56E889-440D-4238-BDB6-993E664E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B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6A6D"/>
    <w:pPr>
      <w:ind w:left="720"/>
      <w:contextualSpacing/>
    </w:pPr>
  </w:style>
  <w:style w:type="table" w:styleId="Grilledutableau">
    <w:name w:val="Table Grid"/>
    <w:basedOn w:val="TableauNormal"/>
    <w:uiPriority w:val="39"/>
    <w:rsid w:val="00B95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31">
    <w:name w:val="Tableau simple 31"/>
    <w:basedOn w:val="TableauNormal"/>
    <w:uiPriority w:val="43"/>
    <w:rsid w:val="00B9547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Lienhypertexte">
    <w:name w:val="Hyperlink"/>
    <w:basedOn w:val="Policepardfaut"/>
    <w:uiPriority w:val="99"/>
    <w:unhideWhenUsed/>
    <w:rsid w:val="00E160AB"/>
    <w:rPr>
      <w:color w:val="0563C1" w:themeColor="hyperlink"/>
      <w:u w:val="single"/>
    </w:rPr>
  </w:style>
  <w:style w:type="paragraph" w:styleId="En-tte">
    <w:name w:val="header"/>
    <w:basedOn w:val="Normal"/>
    <w:link w:val="En-tteCar"/>
    <w:uiPriority w:val="99"/>
    <w:unhideWhenUsed/>
    <w:rsid w:val="00F701AC"/>
    <w:pPr>
      <w:tabs>
        <w:tab w:val="center" w:pos="4536"/>
        <w:tab w:val="right" w:pos="9072"/>
      </w:tabs>
      <w:spacing w:after="0" w:line="240" w:lineRule="auto"/>
    </w:pPr>
  </w:style>
  <w:style w:type="character" w:customStyle="1" w:styleId="En-tteCar">
    <w:name w:val="En-tête Car"/>
    <w:basedOn w:val="Policepardfaut"/>
    <w:link w:val="En-tte"/>
    <w:uiPriority w:val="99"/>
    <w:rsid w:val="00F701AC"/>
  </w:style>
  <w:style w:type="paragraph" w:styleId="Pieddepage">
    <w:name w:val="footer"/>
    <w:basedOn w:val="Normal"/>
    <w:link w:val="PieddepageCar"/>
    <w:uiPriority w:val="99"/>
    <w:unhideWhenUsed/>
    <w:rsid w:val="00F701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01AC"/>
  </w:style>
  <w:style w:type="paragraph" w:styleId="NormalWeb">
    <w:name w:val="Normal (Web)"/>
    <w:basedOn w:val="Normal"/>
    <w:uiPriority w:val="99"/>
    <w:semiHidden/>
    <w:unhideWhenUsed/>
    <w:rsid w:val="000C78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arkqf0z6p5wu">
    <w:name w:val="markqf0z6p5wu"/>
    <w:basedOn w:val="Policepardfaut"/>
    <w:rsid w:val="000C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seal@ardech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1071</Words>
  <Characters>5891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Département de l'Ardèche</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Adeline KLEE</dc:creator>
  <cp:lastModifiedBy>Anne RANU</cp:lastModifiedBy>
  <cp:revision>20</cp:revision>
  <dcterms:created xsi:type="dcterms:W3CDTF">2021-09-02T13:36:00Z</dcterms:created>
  <dcterms:modified xsi:type="dcterms:W3CDTF">2022-11-14T09:18:00Z</dcterms:modified>
</cp:coreProperties>
</file>